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02" w:rsidRPr="00252ED4" w:rsidRDefault="00901B02" w:rsidP="0022430B">
      <w:pPr>
        <w:jc w:val="center"/>
        <w:textAlignment w:val="top"/>
        <w:rPr>
          <w:b/>
        </w:rPr>
      </w:pPr>
      <w:r w:rsidRPr="00252ED4">
        <w:rPr>
          <w:b/>
        </w:rPr>
        <w:t>Оголошення про проведення відкритих торгів</w:t>
      </w:r>
      <w:r>
        <w:rPr>
          <w:b/>
        </w:rPr>
        <w:t>*</w:t>
      </w:r>
      <w:r w:rsidRPr="00252ED4">
        <w:rPr>
          <w:b/>
        </w:rPr>
        <w:t xml:space="preserve"> </w:t>
      </w:r>
    </w:p>
    <w:p w:rsidR="00901B02" w:rsidRPr="00252ED4" w:rsidRDefault="00901B02" w:rsidP="0022430B">
      <w:pPr>
        <w:jc w:val="center"/>
        <w:textAlignment w:val="top"/>
        <w:rPr>
          <w:b/>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856"/>
        <w:gridCol w:w="5953"/>
      </w:tblGrid>
      <w:tr w:rsidR="00901B02" w:rsidRPr="00F13A25" w:rsidTr="00866D21">
        <w:tc>
          <w:tcPr>
            <w:tcW w:w="3856" w:type="dxa"/>
            <w:vAlign w:val="center"/>
          </w:tcPr>
          <w:p w:rsidR="00901B02" w:rsidRPr="00252ED4" w:rsidRDefault="00901B02" w:rsidP="000F1459">
            <w:pPr>
              <w:spacing w:after="120"/>
              <w:textAlignment w:val="top"/>
              <w:rPr>
                <w:bCs/>
              </w:rPr>
            </w:pPr>
            <w:r w:rsidRPr="00252ED4">
              <w:rPr>
                <w:bCs/>
              </w:rPr>
              <w:t>1. Найменування замовника:</w:t>
            </w:r>
          </w:p>
        </w:tc>
        <w:tc>
          <w:tcPr>
            <w:tcW w:w="5953" w:type="dxa"/>
            <w:vAlign w:val="center"/>
          </w:tcPr>
          <w:p w:rsidR="00901B02" w:rsidRPr="00F13A25" w:rsidRDefault="004434AA" w:rsidP="0032615C">
            <w:pPr>
              <w:jc w:val="both"/>
            </w:pPr>
            <w:r w:rsidRPr="004434AA">
              <w:rPr>
                <w:b/>
              </w:rPr>
              <w:t>КОМУНАЛЬНИЙ ЗАКЛАД ЗАГАЛЬНОЇ СЕРЕДНЬОЇ ОСВІТИ "ЛІЦЕЙ № 14 ІМЕНІ ІВАНА ОГІЄНКА ХМЕЛЬНИЦЬКОЇ МІСЬКОЇ РАДИ"</w:t>
            </w:r>
          </w:p>
        </w:tc>
      </w:tr>
      <w:tr w:rsidR="00901B02" w:rsidRPr="00F13A25" w:rsidTr="00866D21">
        <w:tc>
          <w:tcPr>
            <w:tcW w:w="3856" w:type="dxa"/>
            <w:vAlign w:val="center"/>
          </w:tcPr>
          <w:p w:rsidR="00901B02" w:rsidRPr="00252ED4" w:rsidRDefault="00901B02" w:rsidP="00AA3DAF">
            <w:pPr>
              <w:spacing w:after="120"/>
              <w:textAlignment w:val="top"/>
              <w:rPr>
                <w:bCs/>
              </w:rPr>
            </w:pPr>
            <w:r w:rsidRPr="00252ED4">
              <w:rPr>
                <w:bCs/>
              </w:rPr>
              <w:t>1</w:t>
            </w:r>
            <w:r w:rsidRPr="00252ED4">
              <w:rPr>
                <w:bCs/>
                <w:vertAlign w:val="superscript"/>
              </w:rPr>
              <w:t>1</w:t>
            </w:r>
            <w:r w:rsidRPr="00252ED4">
              <w:rPr>
                <w:bCs/>
              </w:rPr>
              <w:t>. Місцезнаходження замовника:</w:t>
            </w:r>
          </w:p>
        </w:tc>
        <w:tc>
          <w:tcPr>
            <w:tcW w:w="5953" w:type="dxa"/>
            <w:vAlign w:val="center"/>
          </w:tcPr>
          <w:p w:rsidR="00901B02" w:rsidRPr="00252ED4" w:rsidRDefault="003238CC" w:rsidP="003238CC">
            <w:pPr>
              <w:jc w:val="both"/>
              <w:rPr>
                <w:lang w:eastAsia="ru-RU"/>
              </w:rPr>
            </w:pPr>
            <w:r>
              <w:rPr>
                <w:b/>
              </w:rPr>
              <w:t>29019, Україна, вул. Степана Бандери, 14/1, м. Хмельницький</w:t>
            </w:r>
          </w:p>
        </w:tc>
      </w:tr>
      <w:tr w:rsidR="00901B02" w:rsidRPr="00F13A25" w:rsidTr="00866D21">
        <w:tc>
          <w:tcPr>
            <w:tcW w:w="3856" w:type="dxa"/>
            <w:vAlign w:val="center"/>
          </w:tcPr>
          <w:p w:rsidR="00901B02" w:rsidRPr="00252ED4" w:rsidRDefault="00901B02" w:rsidP="00A96B26">
            <w:pPr>
              <w:spacing w:after="120"/>
              <w:textAlignment w:val="top"/>
              <w:rPr>
                <w:bCs/>
              </w:rPr>
            </w:pPr>
            <w:r w:rsidRPr="00252ED4">
              <w:rPr>
                <w:bCs/>
              </w:rPr>
              <w:t>1</w:t>
            </w:r>
            <w:r w:rsidRPr="00252ED4">
              <w:rPr>
                <w:bCs/>
                <w:vertAlign w:val="superscript"/>
              </w:rPr>
              <w:t>2</w:t>
            </w:r>
            <w:r w:rsidRPr="00252ED4">
              <w:rPr>
                <w:bCs/>
              </w:rPr>
              <w:t>. Код згідно з ЄДРПОУ замовника:</w:t>
            </w:r>
          </w:p>
        </w:tc>
        <w:tc>
          <w:tcPr>
            <w:tcW w:w="5953" w:type="dxa"/>
            <w:vAlign w:val="center"/>
          </w:tcPr>
          <w:p w:rsidR="00901B02" w:rsidRPr="00252ED4" w:rsidRDefault="003238CC" w:rsidP="000F1459">
            <w:pPr>
              <w:rPr>
                <w:lang w:eastAsia="ru-RU"/>
              </w:rPr>
            </w:pPr>
            <w:r>
              <w:rPr>
                <w:b/>
              </w:rPr>
              <w:t>25803042</w:t>
            </w:r>
          </w:p>
        </w:tc>
      </w:tr>
      <w:tr w:rsidR="00901B02" w:rsidRPr="00F13A25" w:rsidTr="00866D21">
        <w:tc>
          <w:tcPr>
            <w:tcW w:w="3856" w:type="dxa"/>
            <w:vAlign w:val="center"/>
          </w:tcPr>
          <w:p w:rsidR="00901B02" w:rsidRPr="00252ED4" w:rsidRDefault="00901B02" w:rsidP="00A96B26">
            <w:pPr>
              <w:spacing w:after="120"/>
              <w:textAlignment w:val="top"/>
              <w:rPr>
                <w:bCs/>
              </w:rPr>
            </w:pPr>
            <w:r w:rsidRPr="00252ED4">
              <w:rPr>
                <w:bCs/>
              </w:rPr>
              <w:t>1</w:t>
            </w:r>
            <w:r w:rsidRPr="00252ED4">
              <w:rPr>
                <w:bCs/>
                <w:vertAlign w:val="superscript"/>
              </w:rPr>
              <w:t>3</w:t>
            </w:r>
            <w:r w:rsidRPr="00252ED4">
              <w:rPr>
                <w:bCs/>
              </w:rPr>
              <w:t>. Категорія замовника:</w:t>
            </w:r>
          </w:p>
        </w:tc>
        <w:tc>
          <w:tcPr>
            <w:tcW w:w="5953" w:type="dxa"/>
            <w:vAlign w:val="center"/>
          </w:tcPr>
          <w:p w:rsidR="00901B02" w:rsidRPr="00252ED4" w:rsidRDefault="00901B02" w:rsidP="00B876B1">
            <w:pPr>
              <w:jc w:val="both"/>
              <w:rPr>
                <w:lang w:eastAsia="ru-RU"/>
              </w:rPr>
            </w:pPr>
            <w:r w:rsidRPr="00F13A25">
              <w:rPr>
                <w:b/>
                <w:color w:val="000000"/>
              </w:rPr>
              <w:t>Підприємства, установи, організації, зазначені у пункті 3 частини першої статті 2 Закону</w:t>
            </w:r>
          </w:p>
        </w:tc>
      </w:tr>
      <w:tr w:rsidR="00BB4BDA" w:rsidRPr="00F13A25" w:rsidTr="00866D21">
        <w:tc>
          <w:tcPr>
            <w:tcW w:w="3856" w:type="dxa"/>
            <w:vAlign w:val="center"/>
          </w:tcPr>
          <w:p w:rsidR="00BB4BDA" w:rsidRPr="007D3279" w:rsidRDefault="00BB4BDA" w:rsidP="00EC1376">
            <w:pPr>
              <w:spacing w:after="120"/>
              <w:textAlignment w:val="top"/>
              <w:rPr>
                <w:bCs/>
              </w:rPr>
            </w:pPr>
            <w:r w:rsidRPr="007D3279">
              <w:rPr>
                <w:bCs/>
              </w:rPr>
              <w:t>2. Назва предмету закупівлі :</w:t>
            </w:r>
          </w:p>
        </w:tc>
        <w:tc>
          <w:tcPr>
            <w:tcW w:w="5953" w:type="dxa"/>
            <w:vAlign w:val="center"/>
          </w:tcPr>
          <w:p w:rsidR="0034495F" w:rsidRPr="0034495F" w:rsidRDefault="0034495F" w:rsidP="0034495F">
            <w:pPr>
              <w:rPr>
                <w:b/>
                <w:color w:val="000000"/>
              </w:rPr>
            </w:pPr>
            <w:r w:rsidRPr="0034495F">
              <w:rPr>
                <w:b/>
                <w:color w:val="000000"/>
              </w:rPr>
              <w:t>«Код ДК 021:2015 : 39160000-1 Шкільні меблі</w:t>
            </w:r>
          </w:p>
          <w:p w:rsidR="0034495F" w:rsidRDefault="0034495F" w:rsidP="0034495F">
            <w:pPr>
              <w:rPr>
                <w:b/>
                <w:color w:val="000000"/>
              </w:rPr>
            </w:pPr>
            <w:r w:rsidRPr="0034495F">
              <w:rPr>
                <w:b/>
                <w:color w:val="000000"/>
              </w:rPr>
              <w:t>(Деталізований код ДК 021:2015 3916</w:t>
            </w:r>
            <w:r>
              <w:rPr>
                <w:b/>
                <w:color w:val="000000"/>
              </w:rPr>
              <w:t>2100-6 – Навчальне обладнання)»</w:t>
            </w:r>
          </w:p>
          <w:p w:rsidR="00BB4BDA" w:rsidRPr="00B06A60" w:rsidRDefault="0034495F" w:rsidP="0034495F">
            <w:pPr>
              <w:rPr>
                <w:b/>
                <w:color w:val="000000"/>
              </w:rPr>
            </w:pPr>
            <w:r w:rsidRPr="0034495F">
              <w:rPr>
                <w:b/>
                <w:color w:val="000000"/>
              </w:rPr>
              <w:t>(Комплект обладнання для кабінету фізики)</w:t>
            </w:r>
          </w:p>
        </w:tc>
      </w:tr>
      <w:tr w:rsidR="00901B02" w:rsidRPr="00F13A25" w:rsidTr="003238CC">
        <w:trPr>
          <w:trHeight w:val="757"/>
        </w:trPr>
        <w:tc>
          <w:tcPr>
            <w:tcW w:w="3856" w:type="dxa"/>
            <w:vAlign w:val="center"/>
          </w:tcPr>
          <w:p w:rsidR="00901B02" w:rsidRPr="00252ED4" w:rsidRDefault="00901B02" w:rsidP="00EC1376">
            <w:pPr>
              <w:spacing w:after="120"/>
              <w:jc w:val="both"/>
              <w:textAlignment w:val="top"/>
              <w:rPr>
                <w:bCs/>
              </w:rPr>
            </w:pPr>
            <w:r w:rsidRPr="00252ED4">
              <w:rPr>
                <w:bCs/>
              </w:rPr>
              <w:t>3. Кількість товарів або обсяг виконання робіт чи надання послуг:</w:t>
            </w:r>
          </w:p>
        </w:tc>
        <w:tc>
          <w:tcPr>
            <w:tcW w:w="5953" w:type="dxa"/>
            <w:vAlign w:val="center"/>
          </w:tcPr>
          <w:p w:rsidR="007D3279" w:rsidRPr="007C4764" w:rsidRDefault="0034495F" w:rsidP="007C4764">
            <w:r w:rsidRPr="0034495F">
              <w:rPr>
                <w:b/>
              </w:rPr>
              <w:t xml:space="preserve">Комплект обладнання для кабінету фізики </w:t>
            </w:r>
            <w:r>
              <w:rPr>
                <w:b/>
              </w:rPr>
              <w:t xml:space="preserve"> </w:t>
            </w:r>
            <w:r w:rsidR="007D3279" w:rsidRPr="00E06689">
              <w:t>– 1 комплект</w:t>
            </w:r>
            <w:r w:rsidR="007D3279">
              <w:t>.</w:t>
            </w:r>
          </w:p>
        </w:tc>
      </w:tr>
      <w:tr w:rsidR="00901B02" w:rsidRPr="00F13A25" w:rsidTr="00866D21">
        <w:tc>
          <w:tcPr>
            <w:tcW w:w="3856" w:type="dxa"/>
            <w:vAlign w:val="center"/>
          </w:tcPr>
          <w:p w:rsidR="00901B02" w:rsidRPr="00252ED4" w:rsidRDefault="00901B02" w:rsidP="00EC1376">
            <w:pPr>
              <w:spacing w:after="120"/>
              <w:jc w:val="both"/>
              <w:textAlignment w:val="top"/>
              <w:rPr>
                <w:bCs/>
              </w:rPr>
            </w:pPr>
            <w:r w:rsidRPr="00252ED4">
              <w:rPr>
                <w:bCs/>
              </w:rPr>
              <w:t>3</w:t>
            </w:r>
            <w:r w:rsidRPr="00252ED4">
              <w:rPr>
                <w:bCs/>
                <w:vertAlign w:val="superscript"/>
              </w:rPr>
              <w:t>1</w:t>
            </w:r>
            <w:r w:rsidRPr="00252ED4">
              <w:rPr>
                <w:bCs/>
              </w:rPr>
              <w:t>. Місце поставки товарів або місце виконання робіт чи надання послуг:</w:t>
            </w:r>
          </w:p>
        </w:tc>
        <w:tc>
          <w:tcPr>
            <w:tcW w:w="5953" w:type="dxa"/>
            <w:vAlign w:val="center"/>
          </w:tcPr>
          <w:p w:rsidR="00901B02" w:rsidRPr="00F13A25" w:rsidRDefault="003238CC" w:rsidP="003238CC">
            <w:pPr>
              <w:ind w:right="144"/>
              <w:jc w:val="both"/>
              <w:rPr>
                <w:b/>
              </w:rPr>
            </w:pPr>
            <w:r>
              <w:rPr>
                <w:b/>
              </w:rPr>
              <w:t>29019, Україна, вул. Степана Бандери, 14/1, м. Хмельницький</w:t>
            </w:r>
          </w:p>
        </w:tc>
      </w:tr>
      <w:tr w:rsidR="00901B02" w:rsidRPr="00F13A25" w:rsidTr="002258CE">
        <w:tc>
          <w:tcPr>
            <w:tcW w:w="3856" w:type="dxa"/>
            <w:vAlign w:val="center"/>
          </w:tcPr>
          <w:p w:rsidR="00901B02" w:rsidRPr="00252ED4" w:rsidRDefault="00901B02" w:rsidP="00EC1376">
            <w:pPr>
              <w:spacing w:after="120"/>
              <w:jc w:val="both"/>
              <w:textAlignment w:val="top"/>
              <w:rPr>
                <w:bCs/>
              </w:rPr>
            </w:pPr>
            <w:r w:rsidRPr="00252ED4">
              <w:rPr>
                <w:bCs/>
              </w:rPr>
              <w:t>4. Очікувана вартість закупівлі:</w:t>
            </w:r>
          </w:p>
        </w:tc>
        <w:tc>
          <w:tcPr>
            <w:tcW w:w="5953" w:type="dxa"/>
            <w:shd w:val="clear" w:color="auto" w:fill="auto"/>
            <w:vAlign w:val="center"/>
          </w:tcPr>
          <w:p w:rsidR="00901B02" w:rsidRPr="008469F2" w:rsidRDefault="0034495F" w:rsidP="007D3279">
            <w:pPr>
              <w:jc w:val="both"/>
              <w:rPr>
                <w:b/>
                <w:bCs/>
                <w:lang w:eastAsia="ru-RU"/>
              </w:rPr>
            </w:pPr>
            <w:r>
              <w:rPr>
                <w:b/>
              </w:rPr>
              <w:t>5</w:t>
            </w:r>
            <w:r w:rsidR="007D3279">
              <w:rPr>
                <w:b/>
              </w:rPr>
              <w:t>00 000</w:t>
            </w:r>
            <w:r w:rsidR="00412D40">
              <w:rPr>
                <w:b/>
              </w:rPr>
              <w:t>,00</w:t>
            </w:r>
            <w:r w:rsidR="00E14F4A" w:rsidRPr="002258CE">
              <w:rPr>
                <w:b/>
              </w:rPr>
              <w:t xml:space="preserve"> грн. (</w:t>
            </w:r>
            <w:r w:rsidRPr="0034495F">
              <w:rPr>
                <w:b/>
              </w:rPr>
              <w:t>П'ятсот тисяч гривень 00 копійок</w:t>
            </w:r>
            <w:bookmarkStart w:id="0" w:name="_GoBack"/>
            <w:bookmarkEnd w:id="0"/>
            <w:r w:rsidR="00E14F4A" w:rsidRPr="002258CE">
              <w:rPr>
                <w:b/>
              </w:rPr>
              <w:t>) з ПДВ.</w:t>
            </w:r>
          </w:p>
        </w:tc>
      </w:tr>
      <w:tr w:rsidR="00901B02" w:rsidRPr="00F13A25" w:rsidTr="00866D21">
        <w:tc>
          <w:tcPr>
            <w:tcW w:w="3856" w:type="dxa"/>
            <w:vAlign w:val="center"/>
          </w:tcPr>
          <w:p w:rsidR="00901B02" w:rsidRPr="00252ED4" w:rsidRDefault="00901B02" w:rsidP="00EC1376">
            <w:pPr>
              <w:spacing w:after="120"/>
              <w:jc w:val="both"/>
              <w:textAlignment w:val="top"/>
              <w:rPr>
                <w:bCs/>
              </w:rPr>
            </w:pPr>
            <w:r w:rsidRPr="00252ED4">
              <w:rPr>
                <w:bCs/>
              </w:rPr>
              <w:t>5. Строк поставки товарів, виконання робіт чи надання послуг:</w:t>
            </w:r>
          </w:p>
        </w:tc>
        <w:tc>
          <w:tcPr>
            <w:tcW w:w="5953" w:type="dxa"/>
            <w:vAlign w:val="center"/>
          </w:tcPr>
          <w:p w:rsidR="00901B02" w:rsidRPr="00213FAF" w:rsidRDefault="00901B02" w:rsidP="00B06A60">
            <w:pPr>
              <w:rPr>
                <w:rStyle w:val="a3"/>
              </w:rPr>
            </w:pPr>
            <w:r w:rsidRPr="00213FAF">
              <w:rPr>
                <w:b/>
                <w:lang w:eastAsia="ru-RU"/>
              </w:rPr>
              <w:t xml:space="preserve">до </w:t>
            </w:r>
            <w:r w:rsidR="00B06A60">
              <w:rPr>
                <w:b/>
                <w:lang w:eastAsia="ru-RU"/>
              </w:rPr>
              <w:t>31.05</w:t>
            </w:r>
            <w:r w:rsidRPr="00213FAF">
              <w:rPr>
                <w:b/>
                <w:lang w:eastAsia="ru-RU"/>
              </w:rPr>
              <w:t>.202</w:t>
            </w:r>
            <w:r w:rsidR="00B06A60">
              <w:rPr>
                <w:b/>
                <w:lang w:eastAsia="ru-RU"/>
              </w:rPr>
              <w:t>4</w:t>
            </w:r>
            <w:r w:rsidRPr="00213FAF">
              <w:rPr>
                <w:b/>
                <w:lang w:eastAsia="ru-RU"/>
              </w:rPr>
              <w:t xml:space="preserve"> року</w:t>
            </w:r>
          </w:p>
        </w:tc>
      </w:tr>
      <w:tr w:rsidR="00901B02" w:rsidRPr="00F13A25" w:rsidTr="00866D21">
        <w:tc>
          <w:tcPr>
            <w:tcW w:w="3856" w:type="dxa"/>
            <w:vAlign w:val="center"/>
          </w:tcPr>
          <w:p w:rsidR="00901B02" w:rsidRPr="00252ED4" w:rsidRDefault="00901B02" w:rsidP="00AA3DAF">
            <w:pPr>
              <w:textAlignment w:val="top"/>
              <w:rPr>
                <w:bCs/>
              </w:rPr>
            </w:pPr>
            <w:r w:rsidRPr="00252ED4">
              <w:rPr>
                <w:bCs/>
              </w:rPr>
              <w:t>6. Кінцевий строк подання тендерних пропозицій:</w:t>
            </w:r>
          </w:p>
        </w:tc>
        <w:tc>
          <w:tcPr>
            <w:tcW w:w="5953" w:type="dxa"/>
            <w:vAlign w:val="center"/>
          </w:tcPr>
          <w:p w:rsidR="00901B02" w:rsidRPr="00213FAF" w:rsidRDefault="0034495F" w:rsidP="002258CE">
            <w:pPr>
              <w:textAlignment w:val="top"/>
              <w:rPr>
                <w:bCs/>
              </w:rPr>
            </w:pPr>
            <w:r>
              <w:rPr>
                <w:rStyle w:val="a3"/>
              </w:rPr>
              <w:t>03.04</w:t>
            </w:r>
            <w:r w:rsidR="00213FAF" w:rsidRPr="00213FAF">
              <w:rPr>
                <w:rStyle w:val="a3"/>
              </w:rPr>
              <w:t>.</w:t>
            </w:r>
            <w:r w:rsidR="00901B02" w:rsidRPr="00213FAF">
              <w:rPr>
                <w:rStyle w:val="a3"/>
              </w:rPr>
              <w:t>202</w:t>
            </w:r>
            <w:r w:rsidR="00B06A60">
              <w:rPr>
                <w:rStyle w:val="a3"/>
              </w:rPr>
              <w:t>4</w:t>
            </w:r>
            <w:r w:rsidR="00901B02" w:rsidRPr="00213FAF">
              <w:rPr>
                <w:rStyle w:val="a3"/>
                <w:bCs w:val="0"/>
              </w:rPr>
              <w:t> року</w:t>
            </w:r>
            <w:r w:rsidR="004434AA" w:rsidRPr="00213FAF">
              <w:rPr>
                <w:rStyle w:val="a3"/>
                <w:bCs w:val="0"/>
              </w:rPr>
              <w:t xml:space="preserve"> 00</w:t>
            </w:r>
            <w:r w:rsidR="00901B02" w:rsidRPr="00213FAF">
              <w:rPr>
                <w:rStyle w:val="a3"/>
                <w:bCs w:val="0"/>
              </w:rPr>
              <w:t>:00</w:t>
            </w:r>
          </w:p>
        </w:tc>
      </w:tr>
      <w:tr w:rsidR="00901B02" w:rsidRPr="00F13A25" w:rsidTr="00866D21">
        <w:tc>
          <w:tcPr>
            <w:tcW w:w="3856" w:type="dxa"/>
            <w:vAlign w:val="center"/>
          </w:tcPr>
          <w:p w:rsidR="00901B02" w:rsidRPr="00252ED4" w:rsidRDefault="00901B02" w:rsidP="00AA3DAF">
            <w:pPr>
              <w:textAlignment w:val="top"/>
              <w:rPr>
                <w:bCs/>
              </w:rPr>
            </w:pPr>
            <w:r w:rsidRPr="00252ED4">
              <w:rPr>
                <w:bCs/>
              </w:rPr>
              <w:t>7. Умови оплати:</w:t>
            </w:r>
          </w:p>
        </w:tc>
        <w:tc>
          <w:tcPr>
            <w:tcW w:w="5953" w:type="dxa"/>
            <w:vAlign w:val="center"/>
          </w:tcPr>
          <w:p w:rsidR="00901B02" w:rsidRPr="00252ED4" w:rsidRDefault="00901B02" w:rsidP="00EF7A4C">
            <w:pPr>
              <w:jc w:val="both"/>
              <w:textAlignment w:val="top"/>
              <w:rPr>
                <w:b/>
                <w:bCs/>
              </w:rPr>
            </w:pPr>
            <w:r>
              <w:rPr>
                <w:b/>
                <w:bCs/>
              </w:rPr>
              <w:t xml:space="preserve">Тип : </w:t>
            </w:r>
            <w:proofErr w:type="spellStart"/>
            <w:r w:rsidRPr="00252ED4">
              <w:rPr>
                <w:b/>
                <w:bCs/>
              </w:rPr>
              <w:t>післяоплата</w:t>
            </w:r>
            <w:proofErr w:type="spellEnd"/>
            <w:r w:rsidRPr="00252ED4">
              <w:rPr>
                <w:b/>
                <w:bCs/>
              </w:rPr>
              <w:t xml:space="preserve">; </w:t>
            </w:r>
          </w:p>
          <w:p w:rsidR="00901B02" w:rsidRPr="00252ED4" w:rsidRDefault="00901B02" w:rsidP="00EF7A4C">
            <w:pPr>
              <w:jc w:val="both"/>
              <w:textAlignment w:val="top"/>
              <w:rPr>
                <w:b/>
                <w:bCs/>
              </w:rPr>
            </w:pPr>
            <w:r w:rsidRPr="00252ED4">
              <w:rPr>
                <w:b/>
                <w:bCs/>
              </w:rPr>
              <w:t xml:space="preserve">Період та тип днів: </w:t>
            </w:r>
            <w:r w:rsidR="00490EF6">
              <w:rPr>
                <w:b/>
                <w:bCs/>
              </w:rPr>
              <w:t>10</w:t>
            </w:r>
            <w:r w:rsidRPr="00252ED4">
              <w:rPr>
                <w:b/>
                <w:bCs/>
              </w:rPr>
              <w:t xml:space="preserve"> </w:t>
            </w:r>
            <w:r w:rsidR="00490EF6">
              <w:rPr>
                <w:b/>
                <w:bCs/>
              </w:rPr>
              <w:t>календарних</w:t>
            </w:r>
            <w:r w:rsidRPr="00252ED4">
              <w:rPr>
                <w:b/>
                <w:bCs/>
              </w:rPr>
              <w:t xml:space="preserve"> днів; </w:t>
            </w:r>
          </w:p>
          <w:p w:rsidR="00901B02" w:rsidRPr="00252ED4" w:rsidRDefault="00901B02" w:rsidP="00EF7A4C">
            <w:pPr>
              <w:jc w:val="both"/>
              <w:textAlignment w:val="top"/>
              <w:rPr>
                <w:b/>
                <w:bCs/>
              </w:rPr>
            </w:pPr>
            <w:r w:rsidRPr="00252ED4">
              <w:rPr>
                <w:b/>
                <w:bCs/>
              </w:rPr>
              <w:t xml:space="preserve">Розмір оплати: </w:t>
            </w:r>
            <w:r>
              <w:rPr>
                <w:b/>
                <w:bCs/>
              </w:rPr>
              <w:t>100</w:t>
            </w:r>
            <w:r w:rsidRPr="00252ED4">
              <w:rPr>
                <w:b/>
                <w:bCs/>
              </w:rPr>
              <w:t xml:space="preserve">%; </w:t>
            </w:r>
          </w:p>
          <w:p w:rsidR="00901B02" w:rsidRPr="00F13A25" w:rsidRDefault="00901B02" w:rsidP="006E7F45">
            <w:pPr>
              <w:jc w:val="both"/>
              <w:textAlignment w:val="top"/>
              <w:rPr>
                <w:rStyle w:val="a3"/>
              </w:rPr>
            </w:pPr>
            <w:r w:rsidRPr="00252ED4">
              <w:rPr>
                <w:b/>
                <w:bCs/>
              </w:rPr>
              <w:t xml:space="preserve">Примітка: </w:t>
            </w:r>
            <w:r w:rsidR="00490EF6">
              <w:t>Замовник оплачує отриманий товар протягом 10 календарних днів з моменту отримання товару.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бюджетного призначення на фінансування закупівлі на свій рахунок.</w:t>
            </w:r>
          </w:p>
        </w:tc>
      </w:tr>
      <w:tr w:rsidR="00901B02" w:rsidRPr="00F13A25" w:rsidTr="00866D21">
        <w:tc>
          <w:tcPr>
            <w:tcW w:w="3856" w:type="dxa"/>
            <w:vAlign w:val="center"/>
          </w:tcPr>
          <w:p w:rsidR="00901B02" w:rsidRPr="00252ED4" w:rsidRDefault="00901B02" w:rsidP="00AA3DAF">
            <w:pPr>
              <w:textAlignment w:val="top"/>
              <w:rPr>
                <w:bCs/>
              </w:rPr>
            </w:pPr>
            <w:r w:rsidRPr="00252ED4">
              <w:rPr>
                <w:bCs/>
              </w:rPr>
              <w:t>8. Мова (мови), якою (якими) повинні готуватися тендерні пропозиції</w:t>
            </w:r>
          </w:p>
        </w:tc>
        <w:tc>
          <w:tcPr>
            <w:tcW w:w="5953" w:type="dxa"/>
            <w:vAlign w:val="center"/>
          </w:tcPr>
          <w:p w:rsidR="00901B02" w:rsidRPr="00F13A25" w:rsidRDefault="00901B02" w:rsidP="00510B6D">
            <w:pPr>
              <w:jc w:val="both"/>
              <w:textAlignment w:val="top"/>
              <w:rPr>
                <w:rStyle w:val="a3"/>
              </w:rPr>
            </w:pPr>
            <w:r w:rsidRPr="00F13A25">
              <w:rPr>
                <w:color w:val="000000"/>
              </w:rPr>
              <w:t>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встановлено вимогами тендерної документації</w:t>
            </w: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t>9.</w:t>
            </w:r>
            <w:r w:rsidRPr="00F13A25">
              <w:t xml:space="preserve"> </w:t>
            </w:r>
            <w:r w:rsidRPr="00252ED4">
              <w:rPr>
                <w:bCs/>
              </w:rPr>
              <w:t>Розмір, вид та умови надання забезпечення тендерних пропозицій (якщо замовник вимагає його надати):</w:t>
            </w:r>
          </w:p>
        </w:tc>
        <w:tc>
          <w:tcPr>
            <w:tcW w:w="5953" w:type="dxa"/>
            <w:vAlign w:val="center"/>
          </w:tcPr>
          <w:p w:rsidR="00901B02" w:rsidRPr="00F13A25" w:rsidRDefault="00901B02" w:rsidP="004E11A7">
            <w:pPr>
              <w:jc w:val="both"/>
              <w:textAlignment w:val="top"/>
              <w:rPr>
                <w:rStyle w:val="a3"/>
                <w:b w:val="0"/>
                <w:bCs w:val="0"/>
              </w:rPr>
            </w:pPr>
            <w:r w:rsidRPr="00F13A25">
              <w:rPr>
                <w:b/>
                <w:bCs/>
              </w:rPr>
              <w:t>Не вимагається</w:t>
            </w: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t>10.</w:t>
            </w:r>
            <w:r w:rsidRPr="00F13A25">
              <w:t xml:space="preserve"> Д</w:t>
            </w:r>
            <w:r w:rsidRPr="00252ED4">
              <w:rPr>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953" w:type="dxa"/>
            <w:vAlign w:val="center"/>
          </w:tcPr>
          <w:p w:rsidR="00901B02" w:rsidRPr="00F13A25" w:rsidRDefault="00901B02" w:rsidP="00510B6D">
            <w:pPr>
              <w:jc w:val="both"/>
              <w:textAlignment w:val="top"/>
              <w:rPr>
                <w:rStyle w:val="a3"/>
              </w:rPr>
            </w:pPr>
            <w:r w:rsidRPr="00F13A25">
              <w:rPr>
                <w:rStyle w:val="a3"/>
              </w:rPr>
              <w:t>Не зазначається, адже оголошення про проведення відкритих торгів оприлюднюється не відповідно до частини третьої статті 10 Закону</w:t>
            </w: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t>11.</w:t>
            </w:r>
            <w:r w:rsidRPr="00F13A25">
              <w:t xml:space="preserve"> Р</w:t>
            </w:r>
            <w:r w:rsidRPr="00252ED4">
              <w:rPr>
                <w:bCs/>
              </w:rPr>
              <w:t xml:space="preserve">озмір мінімального кроку </w:t>
            </w:r>
            <w:r w:rsidRPr="00252ED4">
              <w:rPr>
                <w:bCs/>
              </w:rPr>
              <w:lastRenderedPageBreak/>
              <w:t>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953" w:type="dxa"/>
            <w:vAlign w:val="center"/>
          </w:tcPr>
          <w:p w:rsidR="00901B02" w:rsidRPr="00F13A25" w:rsidRDefault="00901B02" w:rsidP="00B84BA3">
            <w:pPr>
              <w:jc w:val="both"/>
              <w:textAlignment w:val="top"/>
              <w:rPr>
                <w:rStyle w:val="a3"/>
              </w:rPr>
            </w:pPr>
            <w:r w:rsidRPr="00F13A25">
              <w:rPr>
                <w:rStyle w:val="a3"/>
              </w:rPr>
              <w:lastRenderedPageBreak/>
              <w:t xml:space="preserve"> 0,5 %</w:t>
            </w:r>
          </w:p>
          <w:p w:rsidR="00901B02" w:rsidRPr="00F13A25" w:rsidRDefault="00901B02" w:rsidP="00D13BBC">
            <w:pPr>
              <w:jc w:val="both"/>
              <w:textAlignment w:val="top"/>
              <w:rPr>
                <w:rStyle w:val="a3"/>
              </w:rPr>
            </w:pP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lastRenderedPageBreak/>
              <w:t>12. Математична формула для розрахунку приведеної ціни (у разі її застосування)</w:t>
            </w:r>
          </w:p>
        </w:tc>
        <w:tc>
          <w:tcPr>
            <w:tcW w:w="5953" w:type="dxa"/>
            <w:vAlign w:val="center"/>
          </w:tcPr>
          <w:p w:rsidR="00901B02" w:rsidRPr="00F13A25" w:rsidRDefault="00901B02" w:rsidP="00B84BA3">
            <w:pPr>
              <w:jc w:val="both"/>
              <w:textAlignment w:val="top"/>
              <w:rPr>
                <w:rStyle w:val="a3"/>
              </w:rPr>
            </w:pPr>
            <w:r w:rsidRPr="00F13A25">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rsidR="00901B02" w:rsidRPr="00252ED4" w:rsidRDefault="00901B02">
      <w:pPr>
        <w:textAlignment w:val="top"/>
        <w:rPr>
          <w:sz w:val="10"/>
          <w:szCs w:val="10"/>
        </w:rPr>
      </w:pPr>
    </w:p>
    <w:p w:rsidR="00901B02" w:rsidRPr="00252ED4" w:rsidRDefault="00901B02">
      <w:pPr>
        <w:textAlignment w:val="top"/>
        <w:rPr>
          <w:sz w:val="10"/>
          <w:szCs w:val="10"/>
        </w:rPr>
      </w:pPr>
    </w:p>
    <w:p w:rsidR="00901B02" w:rsidRPr="00252ED4" w:rsidRDefault="00901B02">
      <w:pPr>
        <w:textAlignment w:val="top"/>
        <w:rPr>
          <w:bCs/>
          <w:sz w:val="10"/>
          <w:szCs w:val="10"/>
        </w:rPr>
      </w:pPr>
    </w:p>
    <w:p w:rsidR="00901B02" w:rsidRPr="007B2F0A" w:rsidRDefault="00901B02" w:rsidP="00510B6D">
      <w:pPr>
        <w:spacing w:line="264" w:lineRule="auto"/>
        <w:jc w:val="center"/>
        <w:rPr>
          <w:b/>
          <w:sz w:val="28"/>
          <w:szCs w:val="28"/>
        </w:rPr>
      </w:pPr>
      <w:r w:rsidRPr="007B2F0A">
        <w:rPr>
          <w:i/>
          <w:sz w:val="16"/>
          <w:szCs w:val="16"/>
        </w:rPr>
        <w:t>* з особливостями затвердженими постановою Кабінету Міністрів України від 12 жовтня 2022 р. № 1178</w:t>
      </w:r>
    </w:p>
    <w:p w:rsidR="00901B02" w:rsidRPr="00252ED4" w:rsidRDefault="00901B02">
      <w:pPr>
        <w:rPr>
          <w:bCs/>
        </w:rPr>
      </w:pPr>
    </w:p>
    <w:p w:rsidR="00901B02" w:rsidRPr="005F5F42" w:rsidRDefault="00901B02">
      <w:pPr>
        <w:rPr>
          <w:bCs/>
        </w:rPr>
      </w:pPr>
    </w:p>
    <w:p w:rsidR="003238CC" w:rsidRPr="003E5781" w:rsidRDefault="003238CC" w:rsidP="003238CC">
      <w:pPr>
        <w:jc w:val="center"/>
      </w:pPr>
      <w:r w:rsidRPr="001A7E72">
        <w:rPr>
          <w:b/>
        </w:rPr>
        <w:t>Уповноважена особа</w:t>
      </w:r>
      <w:r w:rsidRPr="001A7E72">
        <w:rPr>
          <w:b/>
        </w:rPr>
        <w:tab/>
      </w:r>
      <w:r w:rsidRPr="001A7E72">
        <w:rPr>
          <w:b/>
        </w:rPr>
        <w:tab/>
        <w:t xml:space="preserve">__________ </w:t>
      </w:r>
      <w:r w:rsidRPr="001A7E72">
        <w:rPr>
          <w:b/>
        </w:rPr>
        <w:tab/>
      </w:r>
      <w:r w:rsidRPr="001A7E72">
        <w:rPr>
          <w:b/>
        </w:rPr>
        <w:tab/>
      </w:r>
      <w:proofErr w:type="spellStart"/>
      <w:r w:rsidRPr="001A7E72">
        <w:rPr>
          <w:b/>
        </w:rPr>
        <w:t>Піскуровська</w:t>
      </w:r>
      <w:proofErr w:type="spellEnd"/>
      <w:r w:rsidRPr="001A7E72">
        <w:rPr>
          <w:b/>
        </w:rPr>
        <w:t xml:space="preserve"> Катерина Вікторівна</w:t>
      </w:r>
    </w:p>
    <w:p w:rsidR="00901B02" w:rsidRPr="007B02A3" w:rsidRDefault="00901B02" w:rsidP="0051432B">
      <w:pPr>
        <w:jc w:val="center"/>
        <w:rPr>
          <w:b/>
          <w:bCs/>
          <w:i/>
        </w:rPr>
      </w:pPr>
    </w:p>
    <w:p w:rsidR="00901B02" w:rsidRPr="00252ED4" w:rsidRDefault="00901B02" w:rsidP="00CB73B3">
      <w:pPr>
        <w:rPr>
          <w:bCs/>
        </w:rPr>
      </w:pPr>
    </w:p>
    <w:sectPr w:rsidR="00901B02" w:rsidRPr="00252ED4" w:rsidSect="00510B6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BB1" w:rsidRDefault="00AC1BB1" w:rsidP="003E1630">
      <w:r>
        <w:separator/>
      </w:r>
    </w:p>
  </w:endnote>
  <w:endnote w:type="continuationSeparator" w:id="0">
    <w:p w:rsidR="00AC1BB1" w:rsidRDefault="00AC1BB1"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BB1" w:rsidRDefault="00AC1BB1" w:rsidP="003E1630">
      <w:r>
        <w:separator/>
      </w:r>
    </w:p>
  </w:footnote>
  <w:footnote w:type="continuationSeparator" w:id="0">
    <w:p w:rsidR="00AC1BB1" w:rsidRDefault="00AC1BB1" w:rsidP="003E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C4E4B"/>
    <w:multiLevelType w:val="hybridMultilevel"/>
    <w:tmpl w:val="0BF623AA"/>
    <w:lvl w:ilvl="0" w:tplc="AAD073B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BB80645"/>
    <w:multiLevelType w:val="hybridMultilevel"/>
    <w:tmpl w:val="0B38BC0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cs="Times New Roman" w:hint="default"/>
        <w:b/>
        <w:bCs/>
        <w:i w:val="0"/>
        <w:iCs w:val="0"/>
        <w:color w:val="auto"/>
      </w:rPr>
    </w:lvl>
    <w:lvl w:ilvl="3">
      <w:start w:val="1"/>
      <w:numFmt w:val="lowerLetter"/>
      <w:lvlText w:val="(%4)"/>
      <w:lvlJc w:val="left"/>
      <w:pPr>
        <w:tabs>
          <w:tab w:val="num" w:pos="794"/>
        </w:tabs>
        <w:ind w:firstLine="284"/>
      </w:pPr>
      <w:rPr>
        <w:rFonts w:cs="Times New Roman" w:hint="default"/>
        <w:b/>
        <w:bCs/>
        <w:i w:val="0"/>
        <w:iCs w:val="0"/>
        <w:color w:val="auto"/>
      </w:rPr>
    </w:lvl>
    <w:lvl w:ilvl="4">
      <w:start w:val="1"/>
      <w:numFmt w:val="decimal"/>
      <w:lvlText w:val="(%4.%5)"/>
      <w:lvlJc w:val="left"/>
      <w:pPr>
        <w:tabs>
          <w:tab w:val="num" w:pos="794"/>
        </w:tabs>
        <w:ind w:firstLine="284"/>
      </w:pPr>
      <w:rPr>
        <w:rFonts w:cs="Times New Roman" w:hint="default"/>
        <w:b/>
        <w:bCs/>
        <w:i/>
        <w:iCs/>
      </w:rPr>
    </w:lvl>
    <w:lvl w:ilvl="5">
      <w:start w:val="1"/>
      <w:numFmt w:val="bullet"/>
      <w:lvlText w:val="-"/>
      <w:lvlJc w:val="left"/>
      <w:rPr>
        <w:rFonts w:ascii="Courier New" w:hAnsi="Courier New"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373C0"/>
    <w:rsid w:val="000B2BB9"/>
    <w:rsid w:val="000B58AF"/>
    <w:rsid w:val="000F0409"/>
    <w:rsid w:val="000F1459"/>
    <w:rsid w:val="000F2936"/>
    <w:rsid w:val="00110BB8"/>
    <w:rsid w:val="001136FB"/>
    <w:rsid w:val="0015045A"/>
    <w:rsid w:val="00155EE8"/>
    <w:rsid w:val="00160DAA"/>
    <w:rsid w:val="001750A1"/>
    <w:rsid w:val="001E4BDE"/>
    <w:rsid w:val="001E5D4E"/>
    <w:rsid w:val="0020778B"/>
    <w:rsid w:val="00213FAF"/>
    <w:rsid w:val="0022430B"/>
    <w:rsid w:val="002258CE"/>
    <w:rsid w:val="00245B4C"/>
    <w:rsid w:val="002521AC"/>
    <w:rsid w:val="00252ED4"/>
    <w:rsid w:val="00280AA1"/>
    <w:rsid w:val="00286866"/>
    <w:rsid w:val="0029390A"/>
    <w:rsid w:val="002A6B4D"/>
    <w:rsid w:val="002B049C"/>
    <w:rsid w:val="002C2AB9"/>
    <w:rsid w:val="00303457"/>
    <w:rsid w:val="00304CFB"/>
    <w:rsid w:val="003238CC"/>
    <w:rsid w:val="0032615C"/>
    <w:rsid w:val="0034495F"/>
    <w:rsid w:val="00345A95"/>
    <w:rsid w:val="003A4899"/>
    <w:rsid w:val="003B46C7"/>
    <w:rsid w:val="003C6B98"/>
    <w:rsid w:val="003D654D"/>
    <w:rsid w:val="003E1630"/>
    <w:rsid w:val="003F09C9"/>
    <w:rsid w:val="003F4B0E"/>
    <w:rsid w:val="00412D40"/>
    <w:rsid w:val="00413D27"/>
    <w:rsid w:val="004154F7"/>
    <w:rsid w:val="00437CEF"/>
    <w:rsid w:val="00443022"/>
    <w:rsid w:val="004434AA"/>
    <w:rsid w:val="004860D1"/>
    <w:rsid w:val="00490EF6"/>
    <w:rsid w:val="004A7A55"/>
    <w:rsid w:val="004B59CD"/>
    <w:rsid w:val="004C0142"/>
    <w:rsid w:val="004C3860"/>
    <w:rsid w:val="004C70EE"/>
    <w:rsid w:val="004E11A7"/>
    <w:rsid w:val="004E74B1"/>
    <w:rsid w:val="004F3F1C"/>
    <w:rsid w:val="005011D7"/>
    <w:rsid w:val="00510B6D"/>
    <w:rsid w:val="0051432B"/>
    <w:rsid w:val="005309AC"/>
    <w:rsid w:val="005320D6"/>
    <w:rsid w:val="0057179D"/>
    <w:rsid w:val="00572CA1"/>
    <w:rsid w:val="0059030C"/>
    <w:rsid w:val="005A081E"/>
    <w:rsid w:val="005B1F53"/>
    <w:rsid w:val="005B6E79"/>
    <w:rsid w:val="005E393F"/>
    <w:rsid w:val="005F5F42"/>
    <w:rsid w:val="006041E3"/>
    <w:rsid w:val="00624DDA"/>
    <w:rsid w:val="006334C4"/>
    <w:rsid w:val="0067577D"/>
    <w:rsid w:val="00675DF1"/>
    <w:rsid w:val="00694272"/>
    <w:rsid w:val="006A1C08"/>
    <w:rsid w:val="006A2FBC"/>
    <w:rsid w:val="006B40E8"/>
    <w:rsid w:val="006D15B7"/>
    <w:rsid w:val="006E7F45"/>
    <w:rsid w:val="006F0E52"/>
    <w:rsid w:val="00702812"/>
    <w:rsid w:val="00707E76"/>
    <w:rsid w:val="00712F9B"/>
    <w:rsid w:val="007220D5"/>
    <w:rsid w:val="0072653C"/>
    <w:rsid w:val="00754919"/>
    <w:rsid w:val="007773B3"/>
    <w:rsid w:val="007A274E"/>
    <w:rsid w:val="007A6C39"/>
    <w:rsid w:val="007B02A3"/>
    <w:rsid w:val="007B2F0A"/>
    <w:rsid w:val="007C36B6"/>
    <w:rsid w:val="007C4764"/>
    <w:rsid w:val="007D3279"/>
    <w:rsid w:val="00804312"/>
    <w:rsid w:val="008208F9"/>
    <w:rsid w:val="0082124D"/>
    <w:rsid w:val="00831AD0"/>
    <w:rsid w:val="00843071"/>
    <w:rsid w:val="008469F2"/>
    <w:rsid w:val="00846DEE"/>
    <w:rsid w:val="00860591"/>
    <w:rsid w:val="00863FC8"/>
    <w:rsid w:val="00866D21"/>
    <w:rsid w:val="00871259"/>
    <w:rsid w:val="008739E0"/>
    <w:rsid w:val="00887249"/>
    <w:rsid w:val="008A6488"/>
    <w:rsid w:val="008C696D"/>
    <w:rsid w:val="008D7546"/>
    <w:rsid w:val="00901B02"/>
    <w:rsid w:val="009205BC"/>
    <w:rsid w:val="009466B3"/>
    <w:rsid w:val="0097334A"/>
    <w:rsid w:val="0097646A"/>
    <w:rsid w:val="0098127B"/>
    <w:rsid w:val="009914A2"/>
    <w:rsid w:val="0099273F"/>
    <w:rsid w:val="00993A44"/>
    <w:rsid w:val="00993CFA"/>
    <w:rsid w:val="009B7602"/>
    <w:rsid w:val="009C7246"/>
    <w:rsid w:val="009D1AD8"/>
    <w:rsid w:val="009D422C"/>
    <w:rsid w:val="009E118B"/>
    <w:rsid w:val="009E2608"/>
    <w:rsid w:val="00A027FD"/>
    <w:rsid w:val="00A173D3"/>
    <w:rsid w:val="00A23F50"/>
    <w:rsid w:val="00A319D3"/>
    <w:rsid w:val="00A47D35"/>
    <w:rsid w:val="00A92E44"/>
    <w:rsid w:val="00A96B26"/>
    <w:rsid w:val="00AA1296"/>
    <w:rsid w:val="00AA3DAF"/>
    <w:rsid w:val="00AC1BB1"/>
    <w:rsid w:val="00AC5979"/>
    <w:rsid w:val="00AC7DE0"/>
    <w:rsid w:val="00AE38E3"/>
    <w:rsid w:val="00AE686D"/>
    <w:rsid w:val="00B06A60"/>
    <w:rsid w:val="00B10ADE"/>
    <w:rsid w:val="00B549FB"/>
    <w:rsid w:val="00B7233D"/>
    <w:rsid w:val="00B84BA3"/>
    <w:rsid w:val="00B876B1"/>
    <w:rsid w:val="00B95A90"/>
    <w:rsid w:val="00BA6CF4"/>
    <w:rsid w:val="00BA7CDF"/>
    <w:rsid w:val="00BB4BDA"/>
    <w:rsid w:val="00BC28F1"/>
    <w:rsid w:val="00BC57BB"/>
    <w:rsid w:val="00BE6648"/>
    <w:rsid w:val="00BF2333"/>
    <w:rsid w:val="00C1627C"/>
    <w:rsid w:val="00C25637"/>
    <w:rsid w:val="00C34847"/>
    <w:rsid w:val="00C51275"/>
    <w:rsid w:val="00C528E4"/>
    <w:rsid w:val="00C91E53"/>
    <w:rsid w:val="00C96D6F"/>
    <w:rsid w:val="00CA1A24"/>
    <w:rsid w:val="00CA2FF3"/>
    <w:rsid w:val="00CB73B3"/>
    <w:rsid w:val="00CD34A5"/>
    <w:rsid w:val="00CF3911"/>
    <w:rsid w:val="00D1388F"/>
    <w:rsid w:val="00D13BBC"/>
    <w:rsid w:val="00D20208"/>
    <w:rsid w:val="00D2619D"/>
    <w:rsid w:val="00D4529C"/>
    <w:rsid w:val="00D73195"/>
    <w:rsid w:val="00D871FA"/>
    <w:rsid w:val="00DC249A"/>
    <w:rsid w:val="00DC4C29"/>
    <w:rsid w:val="00DD4E1E"/>
    <w:rsid w:val="00DD54A4"/>
    <w:rsid w:val="00DE615C"/>
    <w:rsid w:val="00DF3C8A"/>
    <w:rsid w:val="00E06F47"/>
    <w:rsid w:val="00E14F4A"/>
    <w:rsid w:val="00E37DAA"/>
    <w:rsid w:val="00E4624C"/>
    <w:rsid w:val="00E57596"/>
    <w:rsid w:val="00E6194B"/>
    <w:rsid w:val="00E86E39"/>
    <w:rsid w:val="00E9413E"/>
    <w:rsid w:val="00EA0ACC"/>
    <w:rsid w:val="00EA11B9"/>
    <w:rsid w:val="00EA52B7"/>
    <w:rsid w:val="00EC1376"/>
    <w:rsid w:val="00EC2C12"/>
    <w:rsid w:val="00EF218C"/>
    <w:rsid w:val="00EF7A4C"/>
    <w:rsid w:val="00F13A25"/>
    <w:rsid w:val="00F26CF5"/>
    <w:rsid w:val="00F5688C"/>
    <w:rsid w:val="00F949E8"/>
    <w:rsid w:val="00FB4820"/>
    <w:rsid w:val="00FC5380"/>
    <w:rsid w:val="00FD6C74"/>
    <w:rsid w:val="00FE1F74"/>
    <w:rsid w:val="00FF2126"/>
    <w:rsid w:val="00FF3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sz w:val="24"/>
      <w:szCs w:val="24"/>
    </w:rPr>
  </w:style>
  <w:style w:type="paragraph" w:styleId="1">
    <w:name w:val="heading 1"/>
    <w:basedOn w:val="2"/>
    <w:next w:val="a"/>
    <w:link w:val="10"/>
    <w:autoRedefine/>
    <w:uiPriority w:val="99"/>
    <w:qFormat/>
    <w:rsid w:val="0022430B"/>
    <w:pPr>
      <w:keepNext/>
      <w:spacing w:before="120" w:beforeAutospacing="0" w:after="120"/>
      <w:jc w:val="center"/>
      <w:outlineLvl w:val="0"/>
    </w:pPr>
    <w:rPr>
      <w:sz w:val="24"/>
      <w:szCs w:val="24"/>
    </w:rPr>
  </w:style>
  <w:style w:type="paragraph" w:styleId="2">
    <w:name w:val="heading 2"/>
    <w:basedOn w:val="a"/>
    <w:link w:val="20"/>
    <w:uiPriority w:val="9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2430B"/>
    <w:rPr>
      <w:rFonts w:cs="Times New Roman"/>
      <w:b/>
      <w:bCs/>
      <w:sz w:val="24"/>
      <w:szCs w:val="24"/>
    </w:rPr>
  </w:style>
  <w:style w:type="character" w:customStyle="1" w:styleId="20">
    <w:name w:val="Заголовок 2 Знак"/>
    <w:link w:val="2"/>
    <w:uiPriority w:val="99"/>
    <w:semiHidden/>
    <w:locked/>
    <w:rsid w:val="0082124D"/>
    <w:rPr>
      <w:rFonts w:ascii="Calibri Light" w:hAnsi="Calibri Light" w:cs="Times New Roman"/>
      <w:color w:val="2E74B5"/>
      <w:sz w:val="26"/>
      <w:szCs w:val="26"/>
    </w:rPr>
  </w:style>
  <w:style w:type="paragraph" w:customStyle="1" w:styleId="msonormal0">
    <w:name w:val="msonormal"/>
    <w:basedOn w:val="a"/>
    <w:uiPriority w:val="99"/>
    <w:rsid w:val="0082124D"/>
    <w:pPr>
      <w:spacing w:before="100" w:beforeAutospacing="1" w:after="100" w:afterAutospacing="1"/>
    </w:pPr>
  </w:style>
  <w:style w:type="paragraph" w:customStyle="1" w:styleId="small">
    <w:name w:val="small"/>
    <w:basedOn w:val="a"/>
    <w:uiPriority w:val="99"/>
    <w:rsid w:val="0082124D"/>
    <w:pPr>
      <w:spacing w:before="100" w:beforeAutospacing="1" w:after="100" w:afterAutospacing="1"/>
    </w:pPr>
    <w:rPr>
      <w:sz w:val="18"/>
      <w:szCs w:val="18"/>
    </w:rPr>
  </w:style>
  <w:style w:type="character" w:styleId="a3">
    <w:name w:val="Strong"/>
    <w:uiPriority w:val="99"/>
    <w:qFormat/>
    <w:rsid w:val="0082124D"/>
    <w:rPr>
      <w:rFonts w:cs="Times New Roman"/>
      <w:b/>
      <w:bCs/>
    </w:rPr>
  </w:style>
  <w:style w:type="paragraph" w:styleId="a4">
    <w:name w:val="header"/>
    <w:basedOn w:val="a"/>
    <w:link w:val="a5"/>
    <w:uiPriority w:val="99"/>
    <w:rsid w:val="003E1630"/>
    <w:pPr>
      <w:tabs>
        <w:tab w:val="center" w:pos="4819"/>
        <w:tab w:val="right" w:pos="9639"/>
      </w:tabs>
    </w:pPr>
  </w:style>
  <w:style w:type="character" w:customStyle="1" w:styleId="a5">
    <w:name w:val="Верхний колонтитул Знак"/>
    <w:link w:val="a4"/>
    <w:uiPriority w:val="99"/>
    <w:locked/>
    <w:rsid w:val="003E1630"/>
    <w:rPr>
      <w:rFonts w:eastAsia="Times New Roman" w:cs="Times New Roman"/>
      <w:sz w:val="24"/>
      <w:szCs w:val="24"/>
    </w:rPr>
  </w:style>
  <w:style w:type="paragraph" w:styleId="a6">
    <w:name w:val="footer"/>
    <w:basedOn w:val="a"/>
    <w:link w:val="a7"/>
    <w:uiPriority w:val="99"/>
    <w:rsid w:val="003E1630"/>
    <w:pPr>
      <w:tabs>
        <w:tab w:val="center" w:pos="4819"/>
        <w:tab w:val="right" w:pos="9639"/>
      </w:tabs>
    </w:pPr>
  </w:style>
  <w:style w:type="character" w:customStyle="1" w:styleId="a7">
    <w:name w:val="Нижний колонтитул Знак"/>
    <w:link w:val="a6"/>
    <w:uiPriority w:val="99"/>
    <w:locked/>
    <w:rsid w:val="003E1630"/>
    <w:rPr>
      <w:rFonts w:eastAsia="Times New Roman" w:cs="Times New Roman"/>
      <w:sz w:val="24"/>
      <w:szCs w:val="24"/>
    </w:rPr>
  </w:style>
  <w:style w:type="paragraph" w:styleId="a8">
    <w:name w:val="Balloon Text"/>
    <w:basedOn w:val="a"/>
    <w:link w:val="a9"/>
    <w:uiPriority w:val="99"/>
    <w:semiHidden/>
    <w:rsid w:val="00E06F47"/>
    <w:rPr>
      <w:rFonts w:ascii="Segoe UI" w:hAnsi="Segoe UI" w:cs="Segoe UI"/>
      <w:sz w:val="18"/>
      <w:szCs w:val="18"/>
    </w:rPr>
  </w:style>
  <w:style w:type="character" w:customStyle="1" w:styleId="a9">
    <w:name w:val="Текст выноски Знак"/>
    <w:link w:val="a8"/>
    <w:uiPriority w:val="99"/>
    <w:semiHidden/>
    <w:locked/>
    <w:rsid w:val="00E06F47"/>
    <w:rPr>
      <w:rFonts w:ascii="Segoe UI" w:hAnsi="Segoe UI" w:cs="Segoe UI"/>
      <w:sz w:val="18"/>
      <w:szCs w:val="18"/>
    </w:rPr>
  </w:style>
  <w:style w:type="character" w:styleId="aa">
    <w:name w:val="Hyperlink"/>
    <w:uiPriority w:val="99"/>
    <w:rsid w:val="00CB73B3"/>
    <w:rPr>
      <w:rFonts w:cs="Times New Roman"/>
      <w:color w:val="0000FF"/>
      <w:u w:val="single"/>
    </w:rPr>
  </w:style>
  <w:style w:type="paragraph" w:customStyle="1" w:styleId="rvps2">
    <w:name w:val="rvps2"/>
    <w:basedOn w:val="a"/>
    <w:uiPriority w:val="99"/>
    <w:qFormat/>
    <w:rsid w:val="004E11A7"/>
    <w:pPr>
      <w:spacing w:before="100" w:beforeAutospacing="1" w:after="100" w:afterAutospacing="1"/>
    </w:pPr>
    <w:rPr>
      <w:lang w:val="ru-RU" w:eastAsia="ru-RU"/>
    </w:rPr>
  </w:style>
  <w:style w:type="paragraph" w:styleId="a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c"/>
    <w:uiPriority w:val="99"/>
    <w:qFormat/>
    <w:rsid w:val="00490EF6"/>
    <w:pPr>
      <w:suppressAutoHyphens/>
      <w:spacing w:before="280" w:after="280"/>
    </w:pPr>
    <w:rPr>
      <w:lang w:val="x-none" w:eastAsia="zh-CN"/>
    </w:rPr>
  </w:style>
  <w:style w:type="character" w:customStyle="1" w:styleId="ac">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b"/>
    <w:uiPriority w:val="99"/>
    <w:locked/>
    <w:rsid w:val="00490EF6"/>
    <w:rPr>
      <w:sz w:val="24"/>
      <w:szCs w:val="24"/>
      <w:lang w:val="x-none" w:eastAsia="zh-CN"/>
    </w:rPr>
  </w:style>
  <w:style w:type="paragraph" w:customStyle="1" w:styleId="Default">
    <w:name w:val="Default"/>
    <w:rsid w:val="00E57596"/>
    <w:pPr>
      <w:suppressAutoHyphens/>
      <w:autoSpaceDE w:val="0"/>
    </w:pPr>
    <w:rPr>
      <w:color w:val="000000"/>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sz w:val="24"/>
      <w:szCs w:val="24"/>
    </w:rPr>
  </w:style>
  <w:style w:type="paragraph" w:styleId="1">
    <w:name w:val="heading 1"/>
    <w:basedOn w:val="2"/>
    <w:next w:val="a"/>
    <w:link w:val="10"/>
    <w:autoRedefine/>
    <w:uiPriority w:val="99"/>
    <w:qFormat/>
    <w:rsid w:val="0022430B"/>
    <w:pPr>
      <w:keepNext/>
      <w:spacing w:before="120" w:beforeAutospacing="0" w:after="120"/>
      <w:jc w:val="center"/>
      <w:outlineLvl w:val="0"/>
    </w:pPr>
    <w:rPr>
      <w:sz w:val="24"/>
      <w:szCs w:val="24"/>
    </w:rPr>
  </w:style>
  <w:style w:type="paragraph" w:styleId="2">
    <w:name w:val="heading 2"/>
    <w:basedOn w:val="a"/>
    <w:link w:val="20"/>
    <w:uiPriority w:val="9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2430B"/>
    <w:rPr>
      <w:rFonts w:cs="Times New Roman"/>
      <w:b/>
      <w:bCs/>
      <w:sz w:val="24"/>
      <w:szCs w:val="24"/>
    </w:rPr>
  </w:style>
  <w:style w:type="character" w:customStyle="1" w:styleId="20">
    <w:name w:val="Заголовок 2 Знак"/>
    <w:link w:val="2"/>
    <w:uiPriority w:val="99"/>
    <w:semiHidden/>
    <w:locked/>
    <w:rsid w:val="0082124D"/>
    <w:rPr>
      <w:rFonts w:ascii="Calibri Light" w:hAnsi="Calibri Light" w:cs="Times New Roman"/>
      <w:color w:val="2E74B5"/>
      <w:sz w:val="26"/>
      <w:szCs w:val="26"/>
    </w:rPr>
  </w:style>
  <w:style w:type="paragraph" w:customStyle="1" w:styleId="msonormal0">
    <w:name w:val="msonormal"/>
    <w:basedOn w:val="a"/>
    <w:uiPriority w:val="99"/>
    <w:rsid w:val="0082124D"/>
    <w:pPr>
      <w:spacing w:before="100" w:beforeAutospacing="1" w:after="100" w:afterAutospacing="1"/>
    </w:pPr>
  </w:style>
  <w:style w:type="paragraph" w:customStyle="1" w:styleId="small">
    <w:name w:val="small"/>
    <w:basedOn w:val="a"/>
    <w:uiPriority w:val="99"/>
    <w:rsid w:val="0082124D"/>
    <w:pPr>
      <w:spacing w:before="100" w:beforeAutospacing="1" w:after="100" w:afterAutospacing="1"/>
    </w:pPr>
    <w:rPr>
      <w:sz w:val="18"/>
      <w:szCs w:val="18"/>
    </w:rPr>
  </w:style>
  <w:style w:type="character" w:styleId="a3">
    <w:name w:val="Strong"/>
    <w:uiPriority w:val="99"/>
    <w:qFormat/>
    <w:rsid w:val="0082124D"/>
    <w:rPr>
      <w:rFonts w:cs="Times New Roman"/>
      <w:b/>
      <w:bCs/>
    </w:rPr>
  </w:style>
  <w:style w:type="paragraph" w:styleId="a4">
    <w:name w:val="header"/>
    <w:basedOn w:val="a"/>
    <w:link w:val="a5"/>
    <w:uiPriority w:val="99"/>
    <w:rsid w:val="003E1630"/>
    <w:pPr>
      <w:tabs>
        <w:tab w:val="center" w:pos="4819"/>
        <w:tab w:val="right" w:pos="9639"/>
      </w:tabs>
    </w:pPr>
  </w:style>
  <w:style w:type="character" w:customStyle="1" w:styleId="a5">
    <w:name w:val="Верхний колонтитул Знак"/>
    <w:link w:val="a4"/>
    <w:uiPriority w:val="99"/>
    <w:locked/>
    <w:rsid w:val="003E1630"/>
    <w:rPr>
      <w:rFonts w:eastAsia="Times New Roman" w:cs="Times New Roman"/>
      <w:sz w:val="24"/>
      <w:szCs w:val="24"/>
    </w:rPr>
  </w:style>
  <w:style w:type="paragraph" w:styleId="a6">
    <w:name w:val="footer"/>
    <w:basedOn w:val="a"/>
    <w:link w:val="a7"/>
    <w:uiPriority w:val="99"/>
    <w:rsid w:val="003E1630"/>
    <w:pPr>
      <w:tabs>
        <w:tab w:val="center" w:pos="4819"/>
        <w:tab w:val="right" w:pos="9639"/>
      </w:tabs>
    </w:pPr>
  </w:style>
  <w:style w:type="character" w:customStyle="1" w:styleId="a7">
    <w:name w:val="Нижний колонтитул Знак"/>
    <w:link w:val="a6"/>
    <w:uiPriority w:val="99"/>
    <w:locked/>
    <w:rsid w:val="003E1630"/>
    <w:rPr>
      <w:rFonts w:eastAsia="Times New Roman" w:cs="Times New Roman"/>
      <w:sz w:val="24"/>
      <w:szCs w:val="24"/>
    </w:rPr>
  </w:style>
  <w:style w:type="paragraph" w:styleId="a8">
    <w:name w:val="Balloon Text"/>
    <w:basedOn w:val="a"/>
    <w:link w:val="a9"/>
    <w:uiPriority w:val="99"/>
    <w:semiHidden/>
    <w:rsid w:val="00E06F47"/>
    <w:rPr>
      <w:rFonts w:ascii="Segoe UI" w:hAnsi="Segoe UI" w:cs="Segoe UI"/>
      <w:sz w:val="18"/>
      <w:szCs w:val="18"/>
    </w:rPr>
  </w:style>
  <w:style w:type="character" w:customStyle="1" w:styleId="a9">
    <w:name w:val="Текст выноски Знак"/>
    <w:link w:val="a8"/>
    <w:uiPriority w:val="99"/>
    <w:semiHidden/>
    <w:locked/>
    <w:rsid w:val="00E06F47"/>
    <w:rPr>
      <w:rFonts w:ascii="Segoe UI" w:hAnsi="Segoe UI" w:cs="Segoe UI"/>
      <w:sz w:val="18"/>
      <w:szCs w:val="18"/>
    </w:rPr>
  </w:style>
  <w:style w:type="character" w:styleId="aa">
    <w:name w:val="Hyperlink"/>
    <w:uiPriority w:val="99"/>
    <w:rsid w:val="00CB73B3"/>
    <w:rPr>
      <w:rFonts w:cs="Times New Roman"/>
      <w:color w:val="0000FF"/>
      <w:u w:val="single"/>
    </w:rPr>
  </w:style>
  <w:style w:type="paragraph" w:customStyle="1" w:styleId="rvps2">
    <w:name w:val="rvps2"/>
    <w:basedOn w:val="a"/>
    <w:uiPriority w:val="99"/>
    <w:qFormat/>
    <w:rsid w:val="004E11A7"/>
    <w:pPr>
      <w:spacing w:before="100" w:beforeAutospacing="1" w:after="100" w:afterAutospacing="1"/>
    </w:pPr>
    <w:rPr>
      <w:lang w:val="ru-RU" w:eastAsia="ru-RU"/>
    </w:rPr>
  </w:style>
  <w:style w:type="paragraph" w:styleId="a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c"/>
    <w:uiPriority w:val="99"/>
    <w:qFormat/>
    <w:rsid w:val="00490EF6"/>
    <w:pPr>
      <w:suppressAutoHyphens/>
      <w:spacing w:before="280" w:after="280"/>
    </w:pPr>
    <w:rPr>
      <w:lang w:val="x-none" w:eastAsia="zh-CN"/>
    </w:rPr>
  </w:style>
  <w:style w:type="character" w:customStyle="1" w:styleId="ac">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b"/>
    <w:uiPriority w:val="99"/>
    <w:locked/>
    <w:rsid w:val="00490EF6"/>
    <w:rPr>
      <w:sz w:val="24"/>
      <w:szCs w:val="24"/>
      <w:lang w:val="x-none" w:eastAsia="zh-CN"/>
    </w:rPr>
  </w:style>
  <w:style w:type="paragraph" w:customStyle="1" w:styleId="Default">
    <w:name w:val="Default"/>
    <w:rsid w:val="00E57596"/>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4776">
      <w:bodyDiv w:val="1"/>
      <w:marLeft w:val="0"/>
      <w:marRight w:val="0"/>
      <w:marTop w:val="0"/>
      <w:marBottom w:val="0"/>
      <w:divBdr>
        <w:top w:val="none" w:sz="0" w:space="0" w:color="auto"/>
        <w:left w:val="none" w:sz="0" w:space="0" w:color="auto"/>
        <w:bottom w:val="none" w:sz="0" w:space="0" w:color="auto"/>
        <w:right w:val="none" w:sz="0" w:space="0" w:color="auto"/>
      </w:divBdr>
    </w:div>
    <w:div w:id="688873078">
      <w:bodyDiv w:val="1"/>
      <w:marLeft w:val="0"/>
      <w:marRight w:val="0"/>
      <w:marTop w:val="0"/>
      <w:marBottom w:val="0"/>
      <w:divBdr>
        <w:top w:val="none" w:sz="0" w:space="0" w:color="auto"/>
        <w:left w:val="none" w:sz="0" w:space="0" w:color="auto"/>
        <w:bottom w:val="none" w:sz="0" w:space="0" w:color="auto"/>
        <w:right w:val="none" w:sz="0" w:space="0" w:color="auto"/>
      </w:divBdr>
    </w:div>
    <w:div w:id="760830677">
      <w:bodyDiv w:val="1"/>
      <w:marLeft w:val="0"/>
      <w:marRight w:val="0"/>
      <w:marTop w:val="0"/>
      <w:marBottom w:val="0"/>
      <w:divBdr>
        <w:top w:val="none" w:sz="0" w:space="0" w:color="auto"/>
        <w:left w:val="none" w:sz="0" w:space="0" w:color="auto"/>
        <w:bottom w:val="none" w:sz="0" w:space="0" w:color="auto"/>
        <w:right w:val="none" w:sz="0" w:space="0" w:color="auto"/>
      </w:divBdr>
    </w:div>
    <w:div w:id="1253473888">
      <w:marLeft w:val="0"/>
      <w:marRight w:val="0"/>
      <w:marTop w:val="0"/>
      <w:marBottom w:val="0"/>
      <w:divBdr>
        <w:top w:val="none" w:sz="0" w:space="0" w:color="auto"/>
        <w:left w:val="none" w:sz="0" w:space="0" w:color="auto"/>
        <w:bottom w:val="none" w:sz="0" w:space="0" w:color="auto"/>
        <w:right w:val="none" w:sz="0" w:space="0" w:color="auto"/>
      </w:divBdr>
    </w:div>
    <w:div w:id="1253473889">
      <w:marLeft w:val="0"/>
      <w:marRight w:val="0"/>
      <w:marTop w:val="0"/>
      <w:marBottom w:val="0"/>
      <w:divBdr>
        <w:top w:val="none" w:sz="0" w:space="0" w:color="auto"/>
        <w:left w:val="none" w:sz="0" w:space="0" w:color="auto"/>
        <w:bottom w:val="none" w:sz="0" w:space="0" w:color="auto"/>
        <w:right w:val="none" w:sz="0" w:space="0" w:color="auto"/>
      </w:divBdr>
    </w:div>
    <w:div w:id="1253473890">
      <w:marLeft w:val="0"/>
      <w:marRight w:val="0"/>
      <w:marTop w:val="0"/>
      <w:marBottom w:val="0"/>
      <w:divBdr>
        <w:top w:val="none" w:sz="0" w:space="0" w:color="auto"/>
        <w:left w:val="none" w:sz="0" w:space="0" w:color="auto"/>
        <w:bottom w:val="none" w:sz="0" w:space="0" w:color="auto"/>
        <w:right w:val="none" w:sz="0" w:space="0" w:color="auto"/>
      </w:divBdr>
    </w:div>
    <w:div w:id="1253473891">
      <w:marLeft w:val="0"/>
      <w:marRight w:val="0"/>
      <w:marTop w:val="0"/>
      <w:marBottom w:val="0"/>
      <w:divBdr>
        <w:top w:val="none" w:sz="0" w:space="0" w:color="auto"/>
        <w:left w:val="none" w:sz="0" w:space="0" w:color="auto"/>
        <w:bottom w:val="none" w:sz="0" w:space="0" w:color="auto"/>
        <w:right w:val="none" w:sz="0" w:space="0" w:color="auto"/>
      </w:divBdr>
    </w:div>
    <w:div w:id="1253473892">
      <w:marLeft w:val="0"/>
      <w:marRight w:val="0"/>
      <w:marTop w:val="0"/>
      <w:marBottom w:val="0"/>
      <w:divBdr>
        <w:top w:val="none" w:sz="0" w:space="0" w:color="auto"/>
        <w:left w:val="none" w:sz="0" w:space="0" w:color="auto"/>
        <w:bottom w:val="none" w:sz="0" w:space="0" w:color="auto"/>
        <w:right w:val="none" w:sz="0" w:space="0" w:color="auto"/>
      </w:divBdr>
    </w:div>
    <w:div w:id="1253473893">
      <w:marLeft w:val="0"/>
      <w:marRight w:val="0"/>
      <w:marTop w:val="0"/>
      <w:marBottom w:val="0"/>
      <w:divBdr>
        <w:top w:val="none" w:sz="0" w:space="0" w:color="auto"/>
        <w:left w:val="none" w:sz="0" w:space="0" w:color="auto"/>
        <w:bottom w:val="none" w:sz="0" w:space="0" w:color="auto"/>
        <w:right w:val="none" w:sz="0" w:space="0" w:color="auto"/>
      </w:divBdr>
    </w:div>
    <w:div w:id="206486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1826</Words>
  <Characters>1042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2022-12-16T11:49:00Z</cp:lastPrinted>
  <dcterms:created xsi:type="dcterms:W3CDTF">2024-03-26T11:04:00Z</dcterms:created>
  <dcterms:modified xsi:type="dcterms:W3CDTF">2024-03-26T11:04:00Z</dcterms:modified>
</cp:coreProperties>
</file>