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87" w:rsidRPr="00300F72" w:rsidRDefault="00E22994" w:rsidP="00ED6187">
      <w:pPr>
        <w:ind w:left="2832" w:firstLine="287"/>
        <w:jc w:val="right"/>
        <w:rPr>
          <w:lang w:val="uk-UA"/>
        </w:rPr>
      </w:pPr>
      <w:r>
        <w:rPr>
          <w:lang w:val="uk-UA"/>
        </w:rPr>
        <w:t>ДОДАТОК № 1</w:t>
      </w:r>
    </w:p>
    <w:p w:rsidR="00ED6187" w:rsidRPr="00300F72" w:rsidRDefault="00ED6187" w:rsidP="00ED6187">
      <w:pPr>
        <w:ind w:left="2832" w:firstLine="708"/>
        <w:jc w:val="right"/>
        <w:rPr>
          <w:lang w:val="uk-UA"/>
        </w:rPr>
      </w:pPr>
    </w:p>
    <w:p w:rsidR="00ED6187" w:rsidRPr="00300F72" w:rsidRDefault="00ED6187" w:rsidP="00E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bookmarkStart w:id="0" w:name="_GoBack"/>
      <w:r w:rsidRPr="00300F72">
        <w:rPr>
          <w:iCs/>
          <w:lang w:val="uk-UA"/>
        </w:rPr>
        <w:t>ТЕХНІЧНА СПЕЦИФІКАЦІЯ</w:t>
      </w:r>
      <w:bookmarkEnd w:id="0"/>
      <w:r w:rsidRPr="00300F72">
        <w:rPr>
          <w:lang w:val="uk-UA"/>
        </w:rPr>
        <w:t xml:space="preserve"> </w:t>
      </w:r>
    </w:p>
    <w:p w:rsidR="00ED6187" w:rsidRPr="00B04A13" w:rsidRDefault="00ED6187" w:rsidP="00ED6187">
      <w:pPr>
        <w:widowControl w:val="0"/>
        <w:spacing w:line="259" w:lineRule="auto"/>
        <w:ind w:right="120"/>
        <w:contextualSpacing/>
        <w:jc w:val="center"/>
        <w:rPr>
          <w:rFonts w:eastAsia="Times New Roman"/>
          <w:b/>
          <w:bCs/>
          <w:color w:val="000000"/>
          <w:lang w:val="uk-UA"/>
        </w:rPr>
      </w:pPr>
      <w:r w:rsidRPr="00300F72">
        <w:t xml:space="preserve">на поставку товару: </w:t>
      </w:r>
      <w:r w:rsidRPr="00B04A13">
        <w:rPr>
          <w:rFonts w:eastAsia="Times New Roman"/>
          <w:b/>
          <w:bCs/>
          <w:color w:val="000000"/>
          <w:lang w:val="uk-UA"/>
        </w:rPr>
        <w:t>Бензин та дизельне паливо в талонах/</w:t>
      </w:r>
      <w:proofErr w:type="spellStart"/>
      <w:r w:rsidRPr="00B04A13">
        <w:rPr>
          <w:rFonts w:eastAsia="Times New Roman"/>
          <w:b/>
          <w:bCs/>
          <w:color w:val="000000"/>
          <w:lang w:val="uk-UA"/>
        </w:rPr>
        <w:t>скретч</w:t>
      </w:r>
      <w:proofErr w:type="spellEnd"/>
      <w:r w:rsidRPr="00B04A13">
        <w:rPr>
          <w:rFonts w:eastAsia="Times New Roman"/>
          <w:b/>
          <w:bCs/>
          <w:color w:val="000000"/>
          <w:lang w:val="uk-UA"/>
        </w:rPr>
        <w:t xml:space="preserve"> картках</w:t>
      </w:r>
    </w:p>
    <w:p w:rsidR="00ED6187" w:rsidRPr="00300F72" w:rsidRDefault="00ED6187" w:rsidP="00ED6187">
      <w:pPr>
        <w:widowControl w:val="0"/>
        <w:spacing w:line="259" w:lineRule="auto"/>
        <w:ind w:right="120"/>
        <w:contextualSpacing/>
        <w:jc w:val="center"/>
        <w:rPr>
          <w:rFonts w:eastAsia="Times New Roman"/>
          <w:color w:val="000000"/>
          <w:lang w:val="uk-UA"/>
        </w:rPr>
      </w:pPr>
      <w:r w:rsidRPr="00B14DBB">
        <w:rPr>
          <w:rFonts w:eastAsia="Times New Roman"/>
          <w:bCs/>
          <w:color w:val="000000"/>
          <w:lang w:val="uk-UA"/>
        </w:rPr>
        <w:t>ДК 021:2015 - 09130000-9 - Нафта і дистиляти</w:t>
      </w:r>
    </w:p>
    <w:p w:rsidR="00ED6187" w:rsidRPr="00300F72" w:rsidRDefault="00ED6187" w:rsidP="00ED6187">
      <w:pPr>
        <w:jc w:val="center"/>
        <w:rPr>
          <w:b/>
          <w:bCs/>
          <w:lang w:val="uk-UA"/>
        </w:rPr>
      </w:pPr>
    </w:p>
    <w:p w:rsidR="00ED6187" w:rsidRPr="00300F72" w:rsidRDefault="00ED6187" w:rsidP="00ED6187">
      <w:pPr>
        <w:jc w:val="center"/>
        <w:rPr>
          <w:lang w:val="uk-UA"/>
        </w:rPr>
      </w:pPr>
      <w:r w:rsidRPr="00300F72">
        <w:rPr>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ED6187" w:rsidRPr="00300F72" w:rsidRDefault="00ED6187" w:rsidP="00ED6187">
      <w:pPr>
        <w:pStyle w:val="a5"/>
        <w:spacing w:after="120" w:line="240" w:lineRule="auto"/>
        <w:ind w:left="360"/>
      </w:pPr>
      <w:r w:rsidRPr="00300F72">
        <w:rPr>
          <w:bCs/>
        </w:rPr>
        <w:br/>
      </w:r>
      <w:r w:rsidRPr="00300F72">
        <w:t xml:space="preserve">                                       1.  Детальний опис предмета закупівлі.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6920"/>
      </w:tblGrid>
      <w:tr w:rsidR="00ED6187" w:rsidRPr="00300F72" w:rsidTr="003F2CA5">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ED6187" w:rsidRPr="00300F72" w:rsidRDefault="00ED6187" w:rsidP="00371E23">
            <w:pPr>
              <w:spacing w:after="160"/>
              <w:rPr>
                <w:rFonts w:eastAsia="Times New Roman"/>
                <w:lang w:val="uk-UA" w:eastAsia="en-US"/>
              </w:rPr>
            </w:pPr>
            <w:r w:rsidRPr="00300F72">
              <w:rPr>
                <w:rFonts w:eastAsia="Times New Roman"/>
                <w:sz w:val="22"/>
                <w:szCs w:val="22"/>
                <w:lang w:val="uk-UA" w:eastAsia="en-US"/>
              </w:rPr>
              <w:t>Назва предмета закупівлі</w:t>
            </w:r>
          </w:p>
        </w:tc>
        <w:tc>
          <w:tcPr>
            <w:tcW w:w="6920" w:type="dxa"/>
            <w:tcBorders>
              <w:top w:val="single" w:sz="6" w:space="0" w:color="auto"/>
              <w:left w:val="single" w:sz="6" w:space="0" w:color="auto"/>
              <w:bottom w:val="single" w:sz="6" w:space="0" w:color="auto"/>
              <w:right w:val="single" w:sz="6" w:space="0" w:color="auto"/>
            </w:tcBorders>
            <w:vAlign w:val="center"/>
          </w:tcPr>
          <w:p w:rsidR="00ED6187" w:rsidRPr="00300F72" w:rsidRDefault="00E22994" w:rsidP="00E22994">
            <w:pPr>
              <w:pStyle w:val="a5"/>
              <w:spacing w:after="120" w:line="240" w:lineRule="auto"/>
              <w:ind w:left="8"/>
            </w:pPr>
            <w:r>
              <w:rPr>
                <w:bCs/>
              </w:rPr>
              <w:t>Б</w:t>
            </w:r>
            <w:r w:rsidR="00ED6187" w:rsidRPr="00300F72">
              <w:rPr>
                <w:bCs/>
              </w:rPr>
              <w:t>ензин  в талонах /</w:t>
            </w:r>
            <w:proofErr w:type="spellStart"/>
            <w:r w:rsidR="00ED6187" w:rsidRPr="00300F72">
              <w:rPr>
                <w:bCs/>
              </w:rPr>
              <w:t>скретч-картках</w:t>
            </w:r>
            <w:proofErr w:type="spellEnd"/>
            <w:r w:rsidR="00ED6187" w:rsidRPr="00300F72">
              <w:rPr>
                <w:bCs/>
              </w:rPr>
              <w:t xml:space="preserve"> </w:t>
            </w:r>
            <w:r w:rsidR="00ED6187">
              <w:t xml:space="preserve">та </w:t>
            </w:r>
            <w:r w:rsidR="00ED6187" w:rsidRPr="00300F72">
              <w:rPr>
                <w:bCs/>
              </w:rPr>
              <w:t>дизельне паливо в талонах /</w:t>
            </w:r>
            <w:proofErr w:type="spellStart"/>
            <w:r w:rsidR="00ED6187" w:rsidRPr="00300F72">
              <w:rPr>
                <w:bCs/>
              </w:rPr>
              <w:t>скретч-картках</w:t>
            </w:r>
            <w:proofErr w:type="spellEnd"/>
            <w:r w:rsidR="00ED6187" w:rsidRPr="00300F72">
              <w:rPr>
                <w:bCs/>
              </w:rPr>
              <w:t xml:space="preserve"> </w:t>
            </w:r>
            <w:r w:rsidR="00ED6187" w:rsidRPr="00300F72">
              <w:t xml:space="preserve"> </w:t>
            </w:r>
            <w:r w:rsidR="00ED6187" w:rsidRPr="00300F72">
              <w:rPr>
                <w:rStyle w:val="apple-converted-space"/>
                <w:shd w:val="clear" w:color="auto" w:fill="FFFFFF"/>
              </w:rPr>
              <w:t xml:space="preserve">за </w:t>
            </w:r>
            <w:r w:rsidR="00ED6187" w:rsidRPr="00300F72">
              <w:t xml:space="preserve"> </w:t>
            </w:r>
            <w:proofErr w:type="spellStart"/>
            <w:r w:rsidR="00ED6187" w:rsidRPr="00300F72">
              <w:t>ДК</w:t>
            </w:r>
            <w:proofErr w:type="spellEnd"/>
            <w:r w:rsidR="00ED6187" w:rsidRPr="00300F72">
              <w:t xml:space="preserve"> 021</w:t>
            </w:r>
            <w:r w:rsidR="00ED6187" w:rsidRPr="00300F72">
              <w:rPr>
                <w:sz w:val="24"/>
                <w:szCs w:val="24"/>
              </w:rPr>
              <w:t xml:space="preserve">:2015 </w:t>
            </w:r>
            <w:r w:rsidR="00ED6187" w:rsidRPr="00300F72">
              <w:t>- 09130000-9</w:t>
            </w:r>
            <w:r w:rsidR="00ED6187" w:rsidRPr="00300F72">
              <w:rPr>
                <w:sz w:val="28"/>
                <w:szCs w:val="28"/>
              </w:rPr>
              <w:t xml:space="preserve"> - </w:t>
            </w:r>
            <w:r w:rsidR="00ED6187" w:rsidRPr="00300F72">
              <w:t>Нафта і дистиляти</w:t>
            </w:r>
          </w:p>
        </w:tc>
      </w:tr>
      <w:tr w:rsidR="00ED6187" w:rsidRPr="00300F72" w:rsidTr="003F2CA5">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ED6187" w:rsidRPr="00300F72" w:rsidRDefault="00ED6187" w:rsidP="00371E23">
            <w:pPr>
              <w:spacing w:after="160"/>
              <w:rPr>
                <w:rFonts w:eastAsia="Times New Roman"/>
                <w:lang w:val="uk-UA" w:eastAsia="en-US"/>
              </w:rPr>
            </w:pPr>
            <w:r w:rsidRPr="00300F72">
              <w:rPr>
                <w:rFonts w:eastAsia="Times New Roman"/>
                <w:sz w:val="22"/>
                <w:szCs w:val="22"/>
                <w:lang w:val="uk-UA" w:eastAsia="en-US"/>
              </w:rPr>
              <w:t>Код ДК 021:2015</w:t>
            </w:r>
          </w:p>
        </w:tc>
        <w:tc>
          <w:tcPr>
            <w:tcW w:w="6920" w:type="dxa"/>
            <w:tcBorders>
              <w:top w:val="single" w:sz="6" w:space="0" w:color="auto"/>
              <w:left w:val="single" w:sz="6" w:space="0" w:color="auto"/>
              <w:bottom w:val="single" w:sz="6" w:space="0" w:color="auto"/>
              <w:right w:val="single" w:sz="6" w:space="0" w:color="auto"/>
            </w:tcBorders>
            <w:vAlign w:val="center"/>
          </w:tcPr>
          <w:p w:rsidR="00ED6187" w:rsidRPr="00300F72" w:rsidRDefault="00ED6187" w:rsidP="00371E23">
            <w:pPr>
              <w:spacing w:after="160"/>
              <w:rPr>
                <w:rFonts w:eastAsia="Times New Roman"/>
                <w:lang w:val="uk-UA" w:eastAsia="en-US"/>
              </w:rPr>
            </w:pPr>
            <w:r w:rsidRPr="00300F72">
              <w:rPr>
                <w:rFonts w:eastAsia="Times New Roman"/>
                <w:sz w:val="22"/>
                <w:szCs w:val="22"/>
                <w:lang w:val="uk-UA" w:eastAsia="en-US"/>
              </w:rPr>
              <w:t>09130000-9 — Нафта і дистиляти</w:t>
            </w:r>
          </w:p>
        </w:tc>
      </w:tr>
      <w:tr w:rsidR="00ED6187" w:rsidRPr="00300F72" w:rsidTr="003F2CA5">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ED6187" w:rsidRPr="00300F72" w:rsidRDefault="00ED6187" w:rsidP="00371E23">
            <w:pPr>
              <w:spacing w:after="160"/>
              <w:rPr>
                <w:rFonts w:eastAsia="Times New Roman"/>
                <w:lang w:val="uk-UA" w:eastAsia="en-US"/>
              </w:rPr>
            </w:pPr>
            <w:r w:rsidRPr="00300F72">
              <w:rPr>
                <w:rFonts w:eastAsia="Times New Roman"/>
                <w:sz w:val="22"/>
                <w:szCs w:val="22"/>
                <w:lang w:val="uk-UA" w:eastAsia="en-US"/>
              </w:rPr>
              <w:t>Одиниця виміру</w:t>
            </w:r>
          </w:p>
        </w:tc>
        <w:tc>
          <w:tcPr>
            <w:tcW w:w="6920" w:type="dxa"/>
            <w:tcBorders>
              <w:top w:val="single" w:sz="6" w:space="0" w:color="auto"/>
              <w:left w:val="single" w:sz="6" w:space="0" w:color="auto"/>
              <w:bottom w:val="single" w:sz="6" w:space="0" w:color="auto"/>
              <w:right w:val="single" w:sz="6" w:space="0" w:color="auto"/>
            </w:tcBorders>
          </w:tcPr>
          <w:p w:rsidR="00ED6187" w:rsidRPr="00300F72" w:rsidRDefault="00ED6187" w:rsidP="00371E23">
            <w:pPr>
              <w:spacing w:after="160"/>
              <w:rPr>
                <w:rFonts w:eastAsia="Times New Roman"/>
                <w:lang w:val="uk-UA" w:eastAsia="en-US"/>
              </w:rPr>
            </w:pPr>
            <w:r w:rsidRPr="00300F72">
              <w:rPr>
                <w:rFonts w:eastAsia="Times New Roman"/>
                <w:sz w:val="22"/>
                <w:szCs w:val="22"/>
                <w:lang w:val="uk-UA" w:eastAsia="en-US"/>
              </w:rPr>
              <w:t>Літр</w:t>
            </w:r>
          </w:p>
        </w:tc>
      </w:tr>
      <w:tr w:rsidR="00ED6187" w:rsidRPr="00300F72" w:rsidTr="003F2CA5">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ED6187" w:rsidRPr="00300F72" w:rsidRDefault="00ED6187" w:rsidP="00371E23">
            <w:pPr>
              <w:spacing w:after="160"/>
              <w:rPr>
                <w:rFonts w:eastAsia="Times New Roman"/>
                <w:lang w:val="uk-UA" w:eastAsia="en-US"/>
              </w:rPr>
            </w:pPr>
            <w:r w:rsidRPr="00300F72">
              <w:rPr>
                <w:rFonts w:eastAsia="Times New Roman"/>
                <w:sz w:val="22"/>
                <w:szCs w:val="22"/>
                <w:lang w:val="uk-UA" w:eastAsia="en-US"/>
              </w:rPr>
              <w:t>Кількість товару, л</w:t>
            </w:r>
          </w:p>
        </w:tc>
        <w:tc>
          <w:tcPr>
            <w:tcW w:w="6920" w:type="dxa"/>
            <w:tcBorders>
              <w:top w:val="single" w:sz="6" w:space="0" w:color="auto"/>
              <w:left w:val="single" w:sz="6" w:space="0" w:color="auto"/>
              <w:bottom w:val="single" w:sz="6" w:space="0" w:color="auto"/>
              <w:right w:val="single" w:sz="6" w:space="0" w:color="auto"/>
            </w:tcBorders>
          </w:tcPr>
          <w:p w:rsidR="00ED6187" w:rsidRPr="0024392E" w:rsidRDefault="00ED6187" w:rsidP="00371E23">
            <w:pPr>
              <w:shd w:val="clear" w:color="auto" w:fill="FFFFFF"/>
              <w:rPr>
                <w:rFonts w:eastAsia="Times New Roman"/>
                <w:lang w:val="uk-UA" w:eastAsia="en-US"/>
              </w:rPr>
            </w:pPr>
            <w:r w:rsidRPr="0024392E">
              <w:rPr>
                <w:lang w:val="uk-UA"/>
              </w:rPr>
              <w:t xml:space="preserve"> Бензин </w:t>
            </w:r>
            <w:r w:rsidR="008C383D">
              <w:rPr>
                <w:lang w:val="uk-UA"/>
              </w:rPr>
              <w:t xml:space="preserve">А – 95 </w:t>
            </w:r>
            <w:r w:rsidRPr="0024392E">
              <w:rPr>
                <w:rFonts w:eastAsia="Times New Roman"/>
                <w:sz w:val="22"/>
                <w:szCs w:val="22"/>
                <w:lang w:val="uk-UA" w:eastAsia="en-US"/>
              </w:rPr>
              <w:t xml:space="preserve"> —  </w:t>
            </w:r>
            <w:r w:rsidR="00E22994">
              <w:rPr>
                <w:rFonts w:eastAsia="Times New Roman"/>
                <w:sz w:val="22"/>
                <w:szCs w:val="22"/>
                <w:lang w:val="uk-UA" w:eastAsia="en-US"/>
              </w:rPr>
              <w:t>7</w:t>
            </w:r>
            <w:r>
              <w:rPr>
                <w:rFonts w:eastAsia="Times New Roman"/>
                <w:sz w:val="22"/>
                <w:szCs w:val="22"/>
                <w:lang w:val="uk-UA" w:eastAsia="en-US"/>
              </w:rPr>
              <w:t> 000</w:t>
            </w:r>
            <w:r w:rsidRPr="0024392E">
              <w:rPr>
                <w:rFonts w:eastAsia="Times New Roman"/>
                <w:sz w:val="22"/>
                <w:szCs w:val="22"/>
                <w:lang w:val="uk-UA" w:eastAsia="en-US"/>
              </w:rPr>
              <w:t xml:space="preserve"> л; </w:t>
            </w:r>
          </w:p>
          <w:p w:rsidR="00ED6187" w:rsidRPr="0024392E" w:rsidRDefault="00ED6187" w:rsidP="00371E23">
            <w:pPr>
              <w:shd w:val="clear" w:color="auto" w:fill="FFFFFF"/>
              <w:rPr>
                <w:rFonts w:eastAsia="Times New Roman"/>
                <w:lang w:val="uk-UA" w:eastAsia="en-US"/>
              </w:rPr>
            </w:pPr>
            <w:r w:rsidRPr="0024392E">
              <w:rPr>
                <w:lang w:val="uk-UA"/>
              </w:rPr>
              <w:t xml:space="preserve"> Дизельне паливо – </w:t>
            </w:r>
            <w:r w:rsidR="00E22994">
              <w:rPr>
                <w:lang w:val="uk-UA"/>
              </w:rPr>
              <w:t>2</w:t>
            </w:r>
            <w:r>
              <w:rPr>
                <w:lang w:val="uk-UA"/>
              </w:rPr>
              <w:t> </w:t>
            </w:r>
            <w:r w:rsidR="00E22994">
              <w:rPr>
                <w:lang w:val="uk-UA"/>
              </w:rPr>
              <w:t>5</w:t>
            </w:r>
            <w:r>
              <w:rPr>
                <w:lang w:val="uk-UA"/>
              </w:rPr>
              <w:t>00</w:t>
            </w:r>
            <w:r w:rsidRPr="0024392E">
              <w:rPr>
                <w:lang w:val="uk-UA"/>
              </w:rPr>
              <w:t xml:space="preserve"> л.</w:t>
            </w:r>
          </w:p>
          <w:p w:rsidR="00ED6187" w:rsidRPr="0024392E" w:rsidRDefault="00ED6187" w:rsidP="00371E23">
            <w:pPr>
              <w:shd w:val="clear" w:color="auto" w:fill="FFFFFF"/>
              <w:spacing w:after="150"/>
              <w:ind w:left="8"/>
              <w:jc w:val="both"/>
              <w:rPr>
                <w:rFonts w:eastAsia="Times New Roman"/>
                <w:lang w:val="uk-UA" w:eastAsia="en-US"/>
              </w:rPr>
            </w:pPr>
            <w:r w:rsidRPr="0024392E">
              <w:rPr>
                <w:rFonts w:eastAsia="Times New Roman"/>
                <w:sz w:val="22"/>
                <w:szCs w:val="22"/>
                <w:lang w:val="uk-UA" w:eastAsia="en-US"/>
              </w:rPr>
              <w:t xml:space="preserve">  </w:t>
            </w:r>
          </w:p>
        </w:tc>
      </w:tr>
      <w:tr w:rsidR="00ED6187" w:rsidRPr="00300F72" w:rsidTr="003F2CA5">
        <w:trPr>
          <w:trHeight w:val="552"/>
        </w:trPr>
        <w:tc>
          <w:tcPr>
            <w:tcW w:w="3003" w:type="dxa"/>
            <w:tcBorders>
              <w:top w:val="single" w:sz="6" w:space="0" w:color="auto"/>
              <w:left w:val="single" w:sz="6" w:space="0" w:color="auto"/>
              <w:bottom w:val="single" w:sz="6" w:space="0" w:color="auto"/>
              <w:right w:val="single" w:sz="6" w:space="0" w:color="auto"/>
            </w:tcBorders>
            <w:vAlign w:val="center"/>
          </w:tcPr>
          <w:p w:rsidR="00ED6187" w:rsidRPr="00300F72" w:rsidRDefault="00ED6187" w:rsidP="00371E23">
            <w:pPr>
              <w:spacing w:after="160"/>
              <w:rPr>
                <w:rFonts w:eastAsia="Times New Roman"/>
                <w:lang w:val="uk-UA" w:eastAsia="en-US"/>
              </w:rPr>
            </w:pPr>
            <w:r w:rsidRPr="00300F72">
              <w:rPr>
                <w:rFonts w:eastAsia="Times New Roman"/>
                <w:sz w:val="22"/>
                <w:szCs w:val="22"/>
                <w:lang w:val="uk-UA" w:eastAsia="en-US"/>
              </w:rPr>
              <w:t>Місце поставки товару</w:t>
            </w:r>
          </w:p>
        </w:tc>
        <w:tc>
          <w:tcPr>
            <w:tcW w:w="6920" w:type="dxa"/>
            <w:tcBorders>
              <w:top w:val="single" w:sz="6" w:space="0" w:color="auto"/>
              <w:left w:val="single" w:sz="6" w:space="0" w:color="auto"/>
              <w:bottom w:val="single" w:sz="6" w:space="0" w:color="auto"/>
              <w:right w:val="single" w:sz="6" w:space="0" w:color="auto"/>
            </w:tcBorders>
          </w:tcPr>
          <w:p w:rsidR="00ED6187" w:rsidRPr="00300F72" w:rsidRDefault="00ED6187" w:rsidP="00371E23">
            <w:pPr>
              <w:tabs>
                <w:tab w:val="left" w:pos="567"/>
              </w:tabs>
              <w:jc w:val="both"/>
              <w:rPr>
                <w:rFonts w:eastAsia="Times New Roman"/>
                <w:lang w:val="uk-UA" w:eastAsia="en-US"/>
              </w:rPr>
            </w:pPr>
            <w:r w:rsidRPr="00B61990">
              <w:rPr>
                <w:rFonts w:eastAsia="Times New Roman"/>
                <w:bCs/>
                <w:sz w:val="22"/>
                <w:szCs w:val="22"/>
                <w:lang w:val="uk-UA" w:eastAsia="en-US"/>
              </w:rPr>
              <w:t>80100</w:t>
            </w:r>
            <w:r>
              <w:rPr>
                <w:rFonts w:eastAsia="Times New Roman"/>
                <w:bCs/>
                <w:sz w:val="22"/>
                <w:szCs w:val="22"/>
                <w:lang w:val="uk-UA" w:eastAsia="en-US"/>
              </w:rPr>
              <w:t>,</w:t>
            </w:r>
            <w:r w:rsidRPr="00B61990">
              <w:rPr>
                <w:rFonts w:eastAsia="Times New Roman"/>
                <w:bCs/>
                <w:sz w:val="22"/>
                <w:szCs w:val="22"/>
                <w:lang w:val="uk-UA" w:eastAsia="en-US"/>
              </w:rPr>
              <w:t xml:space="preserve"> Львівська обл.,</w:t>
            </w:r>
            <w:r>
              <w:rPr>
                <w:rFonts w:eastAsia="Times New Roman"/>
                <w:bCs/>
                <w:sz w:val="22"/>
                <w:szCs w:val="22"/>
                <w:lang w:val="uk-UA" w:eastAsia="en-US"/>
              </w:rPr>
              <w:t xml:space="preserve"> Червоноградський район, м.</w:t>
            </w:r>
            <w:r w:rsidRPr="00B61990">
              <w:rPr>
                <w:rFonts w:eastAsia="Times New Roman"/>
                <w:bCs/>
                <w:sz w:val="22"/>
                <w:szCs w:val="22"/>
                <w:lang w:val="uk-UA" w:eastAsia="en-US"/>
              </w:rPr>
              <w:t xml:space="preserve"> Червоноград</w:t>
            </w:r>
            <w:r>
              <w:rPr>
                <w:rFonts w:eastAsia="Times New Roman"/>
                <w:bCs/>
                <w:sz w:val="22"/>
                <w:szCs w:val="22"/>
                <w:lang w:val="uk-UA" w:eastAsia="en-US"/>
              </w:rPr>
              <w:t xml:space="preserve">,                          </w:t>
            </w:r>
            <w:r w:rsidRPr="00B61990">
              <w:rPr>
                <w:rFonts w:eastAsia="Times New Roman"/>
                <w:bCs/>
                <w:sz w:val="22"/>
                <w:szCs w:val="22"/>
                <w:lang w:val="uk-UA" w:eastAsia="en-US"/>
              </w:rPr>
              <w:t xml:space="preserve">вул. Б.Хмельницького, 30 </w:t>
            </w:r>
          </w:p>
        </w:tc>
      </w:tr>
      <w:tr w:rsidR="00ED6187" w:rsidRPr="00300F72" w:rsidTr="003F2CA5">
        <w:trPr>
          <w:trHeight w:val="632"/>
        </w:trPr>
        <w:tc>
          <w:tcPr>
            <w:tcW w:w="3003" w:type="dxa"/>
            <w:tcBorders>
              <w:top w:val="single" w:sz="6" w:space="0" w:color="auto"/>
              <w:left w:val="single" w:sz="6" w:space="0" w:color="auto"/>
              <w:bottom w:val="single" w:sz="6" w:space="0" w:color="auto"/>
              <w:right w:val="single" w:sz="6" w:space="0" w:color="auto"/>
            </w:tcBorders>
            <w:vAlign w:val="center"/>
          </w:tcPr>
          <w:p w:rsidR="00ED6187" w:rsidRPr="00300F72" w:rsidRDefault="00ED6187" w:rsidP="00371E23">
            <w:pPr>
              <w:spacing w:after="160"/>
              <w:rPr>
                <w:rFonts w:eastAsia="Times New Roman"/>
                <w:lang w:val="uk-UA" w:eastAsia="en-US"/>
              </w:rPr>
            </w:pPr>
            <w:r w:rsidRPr="00300F72">
              <w:rPr>
                <w:rFonts w:eastAsia="Times New Roman"/>
                <w:sz w:val="22"/>
                <w:szCs w:val="22"/>
                <w:lang w:val="uk-UA" w:eastAsia="en-US"/>
              </w:rPr>
              <w:t>Строк поставки товару</w:t>
            </w:r>
          </w:p>
        </w:tc>
        <w:tc>
          <w:tcPr>
            <w:tcW w:w="6920" w:type="dxa"/>
            <w:tcBorders>
              <w:top w:val="single" w:sz="6" w:space="0" w:color="auto"/>
              <w:left w:val="single" w:sz="6" w:space="0" w:color="auto"/>
              <w:bottom w:val="single" w:sz="6" w:space="0" w:color="auto"/>
              <w:right w:val="single" w:sz="6" w:space="0" w:color="auto"/>
            </w:tcBorders>
          </w:tcPr>
          <w:p w:rsidR="00ED6187" w:rsidRPr="00300F72" w:rsidRDefault="00ED6187" w:rsidP="00371E23">
            <w:pPr>
              <w:rPr>
                <w:rFonts w:eastAsia="Times New Roman"/>
                <w:lang w:val="uk-UA" w:eastAsia="en-US"/>
              </w:rPr>
            </w:pPr>
            <w:r>
              <w:rPr>
                <w:rFonts w:eastAsia="Times New Roman"/>
                <w:sz w:val="22"/>
                <w:szCs w:val="22"/>
                <w:lang w:val="uk-UA" w:eastAsia="en-US"/>
              </w:rPr>
              <w:t>до 31.12.2022</w:t>
            </w:r>
            <w:r w:rsidRPr="00300F72">
              <w:rPr>
                <w:rFonts w:eastAsia="Times New Roman"/>
                <w:sz w:val="22"/>
                <w:szCs w:val="22"/>
                <w:lang w:val="uk-UA" w:eastAsia="en-US"/>
              </w:rPr>
              <w:t xml:space="preserve"> включно</w:t>
            </w:r>
          </w:p>
        </w:tc>
      </w:tr>
    </w:tbl>
    <w:p w:rsidR="00ED6187" w:rsidRPr="00300F72" w:rsidRDefault="00ED6187" w:rsidP="00ED6187">
      <w:pPr>
        <w:jc w:val="both"/>
        <w:rPr>
          <w:lang w:val="uk-UA"/>
        </w:rPr>
      </w:pPr>
    </w:p>
    <w:p w:rsidR="00ED6187" w:rsidRPr="00300F72" w:rsidRDefault="00ED6187" w:rsidP="00ED6187">
      <w:pPr>
        <w:jc w:val="both"/>
        <w:rPr>
          <w:lang w:val="uk-UA"/>
        </w:rPr>
      </w:pPr>
    </w:p>
    <w:p w:rsidR="00ED6187" w:rsidRPr="00231B48" w:rsidRDefault="00ED6187" w:rsidP="00ED6187">
      <w:pPr>
        <w:jc w:val="center"/>
        <w:rPr>
          <w:b/>
          <w:lang w:val="uk-UA"/>
        </w:rPr>
      </w:pPr>
      <w:r w:rsidRPr="00231B48">
        <w:rPr>
          <w:b/>
          <w:lang w:val="uk-UA"/>
        </w:rPr>
        <w:t>2. Вимоги щодо якості предмета закупівлі.</w:t>
      </w:r>
    </w:p>
    <w:p w:rsidR="00ED6187" w:rsidRPr="00300F72" w:rsidRDefault="00ED6187" w:rsidP="00ED6187">
      <w:pPr>
        <w:jc w:val="both"/>
        <w:rPr>
          <w:lang w:val="uk-UA"/>
        </w:rPr>
      </w:pPr>
      <w:r w:rsidRPr="00300F72">
        <w:rPr>
          <w:lang w:val="uk-UA"/>
        </w:rPr>
        <w:t xml:space="preserve">        Предмет закупівлі повинен відповідати:</w:t>
      </w:r>
    </w:p>
    <w:p w:rsidR="00ED6187" w:rsidRPr="00300F72" w:rsidRDefault="00ED6187" w:rsidP="00ED6187">
      <w:pPr>
        <w:jc w:val="both"/>
        <w:rPr>
          <w:lang w:val="uk-UA"/>
        </w:rPr>
      </w:pPr>
      <w:r w:rsidRPr="00300F72">
        <w:rPr>
          <w:lang w:val="uk-UA"/>
        </w:rPr>
        <w:t xml:space="preserve">        Бензин — вимогам ДСТУ 7687:2015 </w:t>
      </w:r>
      <w:r>
        <w:rPr>
          <w:lang w:val="uk-UA"/>
        </w:rPr>
        <w:t>,,</w:t>
      </w:r>
      <w:r w:rsidRPr="00300F72">
        <w:rPr>
          <w:lang w:val="uk-UA"/>
        </w:rPr>
        <w:t>Бензини автомобільні Євро. Технічні умови</w:t>
      </w:r>
      <w:r>
        <w:rPr>
          <w:lang w:val="uk-UA"/>
        </w:rPr>
        <w:t>”</w:t>
      </w:r>
      <w:r w:rsidRPr="00300F72">
        <w:rPr>
          <w:lang w:val="uk-UA"/>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ED6187" w:rsidRPr="00300F72" w:rsidRDefault="00ED6187" w:rsidP="00ED6187">
      <w:pPr>
        <w:jc w:val="both"/>
        <w:rPr>
          <w:lang w:val="uk-UA"/>
        </w:rPr>
      </w:pPr>
      <w:r w:rsidRPr="00300F72">
        <w:rPr>
          <w:lang w:val="uk-UA"/>
        </w:rPr>
        <w:t xml:space="preserve">        Дизельне паливо — вимогам ДСТУ 7688:2015 </w:t>
      </w:r>
      <w:r>
        <w:rPr>
          <w:lang w:val="uk-UA"/>
        </w:rPr>
        <w:t>,,</w:t>
      </w:r>
      <w:r w:rsidRPr="00300F72">
        <w:rPr>
          <w:lang w:val="uk-UA"/>
        </w:rPr>
        <w:t>Паливо дизельне Євро. Технічні умови</w:t>
      </w:r>
      <w:r>
        <w:rPr>
          <w:lang w:val="uk-UA"/>
        </w:rPr>
        <w:t>”</w:t>
      </w:r>
      <w:r w:rsidRPr="00300F72">
        <w:rPr>
          <w:lang w:val="uk-UA"/>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ED6187" w:rsidRPr="00231B48" w:rsidRDefault="00ED6187" w:rsidP="00ED6187">
      <w:pPr>
        <w:jc w:val="center"/>
        <w:rPr>
          <w:b/>
          <w:lang w:val="uk-UA"/>
        </w:rPr>
      </w:pPr>
      <w:r w:rsidRPr="00231B48">
        <w:rPr>
          <w:b/>
          <w:lang w:val="uk-UA"/>
        </w:rPr>
        <w:t>3. Особливі вимоги до предмета закупівлі.</w:t>
      </w:r>
    </w:p>
    <w:p w:rsidR="00ED6187" w:rsidRPr="00300F72" w:rsidRDefault="00ED6187" w:rsidP="00ED6187">
      <w:pPr>
        <w:jc w:val="both"/>
        <w:rPr>
          <w:lang w:val="uk-UA"/>
        </w:rPr>
      </w:pPr>
      <w:r w:rsidRPr="00300F72">
        <w:rPr>
          <w:lang w:val="uk-UA"/>
        </w:rPr>
        <w:t xml:space="preserve">         3.1. Учасник повинен здійснювати продаж палива через стаціонарну мережу автозаправних станцій (АЗС) </w:t>
      </w:r>
      <w:r w:rsidRPr="003F2CA5">
        <w:rPr>
          <w:lang w:val="uk-UA"/>
        </w:rPr>
        <w:t xml:space="preserve">в  межах 10 км.  від місцезнаходження: 33 ДПРЧ 4 ДПРЗ ГУ ДСНСУ у Львівській області   м. Червоноград, вул. Б. Хмельницького, 30  та 21 ДПРЧ 4 ДПРЗ ГУ ДСНСУ у Львівській області  м. </w:t>
      </w:r>
      <w:proofErr w:type="spellStart"/>
      <w:r w:rsidRPr="003F2CA5">
        <w:rPr>
          <w:lang w:val="uk-UA"/>
        </w:rPr>
        <w:t>Радехів</w:t>
      </w:r>
      <w:proofErr w:type="spellEnd"/>
      <w:r w:rsidRPr="003F2CA5">
        <w:rPr>
          <w:lang w:val="uk-UA"/>
        </w:rPr>
        <w:t xml:space="preserve">, вул. </w:t>
      </w:r>
      <w:proofErr w:type="spellStart"/>
      <w:r w:rsidRPr="003F2CA5">
        <w:rPr>
          <w:lang w:val="uk-UA"/>
        </w:rPr>
        <w:t>Стоянівська</w:t>
      </w:r>
      <w:proofErr w:type="spellEnd"/>
      <w:r w:rsidRPr="003F2CA5">
        <w:rPr>
          <w:lang w:val="uk-UA"/>
        </w:rPr>
        <w:t>, 21,</w:t>
      </w:r>
      <w:r w:rsidRPr="00300F72">
        <w:rPr>
          <w:lang w:val="uk-UA"/>
        </w:rPr>
        <w:t xml:space="preserve"> що призначені для заправки транспортних засобів пальним, відповідно до Постанови Кабінету Міністрів України </w:t>
      </w:r>
      <w:r>
        <w:rPr>
          <w:lang w:val="uk-UA"/>
        </w:rPr>
        <w:t>,,</w:t>
      </w:r>
      <w:r w:rsidRPr="00300F72">
        <w:rPr>
          <w:lang w:val="uk-UA"/>
        </w:rPr>
        <w:t>Про затвердження Правил роздрібної торгівлі нафтопродуктами</w:t>
      </w:r>
      <w:r>
        <w:rPr>
          <w:lang w:val="uk-UA"/>
        </w:rPr>
        <w:t>”</w:t>
      </w:r>
      <w:r w:rsidRPr="00300F72">
        <w:rPr>
          <w:lang w:val="uk-UA"/>
        </w:rPr>
        <w:t xml:space="preserve"> від 20.12.1997 № 1442 (зі змінами та доповненнями).</w:t>
      </w:r>
    </w:p>
    <w:p w:rsidR="00ED6187" w:rsidRDefault="00ED6187" w:rsidP="00ED6187">
      <w:pPr>
        <w:tabs>
          <w:tab w:val="left" w:pos="567"/>
        </w:tabs>
        <w:jc w:val="both"/>
        <w:rPr>
          <w:lang w:val="uk-UA"/>
        </w:rPr>
      </w:pPr>
      <w:r w:rsidRPr="00300F72">
        <w:rPr>
          <w:lang w:val="uk-UA"/>
        </w:rPr>
        <w:t xml:space="preserve">         3.2. </w:t>
      </w:r>
      <w:r w:rsidRPr="00C800DC">
        <w:rPr>
          <w:lang w:val="uk-UA"/>
        </w:rPr>
        <w:t>Паливо повинно відпускатись цілодобово</w:t>
      </w:r>
      <w:r w:rsidRPr="00300F72">
        <w:rPr>
          <w:lang w:val="uk-UA"/>
        </w:rPr>
        <w:t xml:space="preserve"> на підставі пред’явлення талонів або </w:t>
      </w:r>
      <w:proofErr w:type="spellStart"/>
      <w:r w:rsidRPr="00300F72">
        <w:rPr>
          <w:lang w:val="uk-UA"/>
        </w:rPr>
        <w:t>скретч-карток</w:t>
      </w:r>
      <w:proofErr w:type="spellEnd"/>
      <w:r w:rsidRPr="00300F72">
        <w:rPr>
          <w:lang w:val="uk-UA"/>
        </w:rPr>
        <w:t xml:space="preserve"> на власних або орендованих АЗС учасника процедури закупівлі, або на АЗС партнерів учасника процедури закупівлі. Учасник у складі тендерної пропозиції повинен надати довідку із зазначенням наявності та місце знаходження усіх наявних власних АЗС / чи АЗС п</w:t>
      </w:r>
      <w:r>
        <w:rPr>
          <w:lang w:val="uk-UA"/>
        </w:rPr>
        <w:t>артнера в межах м. Львова та Львівської області</w:t>
      </w:r>
      <w:r w:rsidRPr="00300F72">
        <w:rPr>
          <w:lang w:val="uk-UA"/>
        </w:rPr>
        <w:t xml:space="preserve">, в тому числі обов’язкова </w:t>
      </w:r>
      <w:r w:rsidRPr="00300F72">
        <w:rPr>
          <w:lang w:val="uk-UA"/>
        </w:rPr>
        <w:lastRenderedPageBreak/>
        <w:t xml:space="preserve">наявність не </w:t>
      </w:r>
      <w:r w:rsidRPr="008D3B70">
        <w:rPr>
          <w:lang w:val="uk-UA"/>
        </w:rPr>
        <w:t>менше 5 (п’яти)</w:t>
      </w:r>
      <w:r w:rsidRPr="00300F72">
        <w:rPr>
          <w:lang w:val="uk-UA"/>
        </w:rPr>
        <w:t xml:space="preserve"> власних АЗС / чи АЗС партнера (орендованих), </w:t>
      </w:r>
      <w:r>
        <w:rPr>
          <w:lang w:val="uk-UA"/>
        </w:rPr>
        <w:t xml:space="preserve">які розташовані на території </w:t>
      </w:r>
      <w:r w:rsidRPr="00C800DC">
        <w:rPr>
          <w:lang w:val="uk-UA"/>
        </w:rPr>
        <w:t>м. Львова</w:t>
      </w:r>
      <w:r>
        <w:rPr>
          <w:color w:val="FF0000"/>
          <w:lang w:val="uk-UA"/>
        </w:rPr>
        <w:t xml:space="preserve"> </w:t>
      </w:r>
      <w:r w:rsidRPr="00231B48">
        <w:rPr>
          <w:lang w:val="uk-UA"/>
        </w:rPr>
        <w:t xml:space="preserve"> із зазначенням назви АЗС або бренду та адрес їх знаходження згідно Таблицею 1.  </w:t>
      </w:r>
    </w:p>
    <w:p w:rsidR="003F2CA5" w:rsidRPr="00231B48" w:rsidRDefault="003F2CA5" w:rsidP="00ED6187">
      <w:pPr>
        <w:tabs>
          <w:tab w:val="left" w:pos="567"/>
        </w:tabs>
        <w:jc w:val="both"/>
        <w:rPr>
          <w:lang w:val="uk-UA"/>
        </w:rPr>
      </w:pPr>
      <w:r>
        <w:rPr>
          <w:lang w:val="uk-UA"/>
        </w:rPr>
        <w:tab/>
        <w:t xml:space="preserve">3.3 Замовник лишає за собою права купівлі товару окремими партіями при </w:t>
      </w:r>
      <w:r w:rsidR="00FC4CF0">
        <w:rPr>
          <w:lang w:val="uk-UA"/>
        </w:rPr>
        <w:t xml:space="preserve">недостатньому </w:t>
      </w:r>
      <w:r>
        <w:rPr>
          <w:lang w:val="uk-UA"/>
        </w:rPr>
        <w:t>фінансуванн</w:t>
      </w:r>
      <w:r w:rsidR="00FC4CF0">
        <w:rPr>
          <w:lang w:val="uk-UA"/>
        </w:rPr>
        <w:t>і</w:t>
      </w:r>
      <w:r>
        <w:rPr>
          <w:lang w:val="uk-UA"/>
        </w:rPr>
        <w:t>.</w:t>
      </w:r>
    </w:p>
    <w:p w:rsidR="00ED6187" w:rsidRPr="00300F72" w:rsidRDefault="00ED6187" w:rsidP="00ED6187">
      <w:pPr>
        <w:pStyle w:val="a5"/>
        <w:tabs>
          <w:tab w:val="left" w:pos="0"/>
        </w:tabs>
        <w:spacing w:after="0" w:line="240" w:lineRule="auto"/>
        <w:ind w:left="0"/>
        <w:jc w:val="both"/>
        <w:rPr>
          <w:sz w:val="20"/>
          <w:szCs w:val="20"/>
        </w:rPr>
      </w:pPr>
    </w:p>
    <w:p w:rsidR="00ED6187" w:rsidRPr="00300F72" w:rsidRDefault="00ED6187" w:rsidP="00ED6187">
      <w:pPr>
        <w:tabs>
          <w:tab w:val="left" w:pos="426"/>
          <w:tab w:val="left" w:pos="851"/>
        </w:tabs>
        <w:jc w:val="right"/>
        <w:outlineLvl w:val="0"/>
        <w:rPr>
          <w:bCs/>
          <w:iCs/>
          <w:sz w:val="20"/>
          <w:szCs w:val="20"/>
          <w:lang w:val="uk-UA" w:eastAsia="en-US"/>
        </w:rPr>
      </w:pPr>
    </w:p>
    <w:p w:rsidR="00ED6187" w:rsidRPr="00300F72" w:rsidRDefault="00ED6187" w:rsidP="00ED6187">
      <w:pPr>
        <w:tabs>
          <w:tab w:val="left" w:pos="426"/>
          <w:tab w:val="left" w:pos="851"/>
        </w:tabs>
        <w:jc w:val="right"/>
        <w:outlineLvl w:val="0"/>
        <w:rPr>
          <w:bCs/>
          <w:iCs/>
          <w:sz w:val="20"/>
          <w:szCs w:val="20"/>
          <w:lang w:val="uk-UA" w:eastAsia="en-US"/>
        </w:rPr>
      </w:pPr>
      <w:r w:rsidRPr="00300F72">
        <w:rPr>
          <w:bCs/>
          <w:iCs/>
          <w:sz w:val="20"/>
          <w:szCs w:val="20"/>
          <w:lang w:val="uk-UA" w:eastAsia="en-US"/>
        </w:rPr>
        <w:tab/>
      </w:r>
      <w:r w:rsidRPr="00300F72">
        <w:rPr>
          <w:bCs/>
          <w:iCs/>
          <w:sz w:val="20"/>
          <w:szCs w:val="20"/>
          <w:lang w:val="uk-UA" w:eastAsia="en-US"/>
        </w:rPr>
        <w:tab/>
      </w:r>
    </w:p>
    <w:p w:rsidR="00ED6187" w:rsidRDefault="00ED6187" w:rsidP="00ED6187">
      <w:pPr>
        <w:tabs>
          <w:tab w:val="left" w:pos="426"/>
          <w:tab w:val="left" w:pos="851"/>
        </w:tabs>
        <w:jc w:val="right"/>
        <w:outlineLvl w:val="0"/>
        <w:rPr>
          <w:lang w:val="uk-UA"/>
        </w:rPr>
      </w:pPr>
    </w:p>
    <w:p w:rsidR="00ED6187" w:rsidRDefault="00ED6187" w:rsidP="00ED6187">
      <w:pPr>
        <w:tabs>
          <w:tab w:val="left" w:pos="426"/>
          <w:tab w:val="left" w:pos="851"/>
        </w:tabs>
        <w:jc w:val="right"/>
        <w:outlineLvl w:val="0"/>
        <w:rPr>
          <w:lang w:val="uk-UA"/>
        </w:rPr>
      </w:pPr>
    </w:p>
    <w:p w:rsidR="00ED6187" w:rsidRDefault="00ED6187" w:rsidP="00ED6187">
      <w:pPr>
        <w:tabs>
          <w:tab w:val="left" w:pos="426"/>
          <w:tab w:val="left" w:pos="851"/>
        </w:tabs>
        <w:jc w:val="right"/>
        <w:outlineLvl w:val="0"/>
        <w:rPr>
          <w:lang w:val="uk-UA"/>
        </w:rPr>
      </w:pPr>
    </w:p>
    <w:p w:rsidR="00ED6187" w:rsidRDefault="00ED6187" w:rsidP="00ED6187">
      <w:pPr>
        <w:tabs>
          <w:tab w:val="left" w:pos="426"/>
          <w:tab w:val="left" w:pos="851"/>
        </w:tabs>
        <w:jc w:val="right"/>
        <w:outlineLvl w:val="0"/>
        <w:rPr>
          <w:lang w:val="uk-UA"/>
        </w:rPr>
      </w:pPr>
    </w:p>
    <w:p w:rsidR="00ED6187" w:rsidRDefault="00ED6187" w:rsidP="00ED6187">
      <w:pPr>
        <w:tabs>
          <w:tab w:val="left" w:pos="426"/>
          <w:tab w:val="left" w:pos="851"/>
        </w:tabs>
        <w:jc w:val="right"/>
        <w:outlineLvl w:val="0"/>
        <w:rPr>
          <w:lang w:val="uk-UA"/>
        </w:rPr>
      </w:pPr>
    </w:p>
    <w:p w:rsidR="00ED6187" w:rsidRDefault="00ED6187" w:rsidP="00ED6187">
      <w:pPr>
        <w:tabs>
          <w:tab w:val="left" w:pos="426"/>
          <w:tab w:val="left" w:pos="851"/>
        </w:tabs>
        <w:jc w:val="right"/>
        <w:outlineLvl w:val="0"/>
        <w:rPr>
          <w:lang w:val="uk-UA"/>
        </w:rPr>
      </w:pPr>
    </w:p>
    <w:p w:rsidR="00ED6187" w:rsidRPr="00300F72" w:rsidRDefault="00ED6187" w:rsidP="00ED6187">
      <w:pPr>
        <w:tabs>
          <w:tab w:val="left" w:pos="426"/>
          <w:tab w:val="left" w:pos="851"/>
        </w:tabs>
        <w:jc w:val="right"/>
        <w:outlineLvl w:val="0"/>
        <w:rPr>
          <w:lang w:val="uk-UA"/>
        </w:rPr>
      </w:pPr>
      <w:r w:rsidRPr="00300F72">
        <w:rPr>
          <w:lang w:val="uk-UA"/>
        </w:rPr>
        <w:t>Таблиця 1</w:t>
      </w:r>
    </w:p>
    <w:p w:rsidR="00ED6187" w:rsidRDefault="00ED6187" w:rsidP="00ED6187">
      <w:pPr>
        <w:tabs>
          <w:tab w:val="left" w:pos="426"/>
          <w:tab w:val="left" w:pos="851"/>
        </w:tabs>
        <w:ind w:left="567"/>
        <w:contextualSpacing/>
        <w:outlineLvl w:val="0"/>
        <w:rPr>
          <w:lang w:val="uk-UA"/>
        </w:rPr>
      </w:pPr>
      <w:r w:rsidRPr="00300F72">
        <w:rPr>
          <w:lang w:val="uk-UA"/>
        </w:rPr>
        <w:t xml:space="preserve">                                                                 </w:t>
      </w:r>
    </w:p>
    <w:p w:rsidR="00ED6187" w:rsidRDefault="00ED6187" w:rsidP="00ED6187">
      <w:pPr>
        <w:tabs>
          <w:tab w:val="left" w:pos="426"/>
          <w:tab w:val="left" w:pos="851"/>
        </w:tabs>
        <w:ind w:left="567"/>
        <w:contextualSpacing/>
        <w:outlineLvl w:val="0"/>
        <w:rPr>
          <w:lang w:val="uk-UA"/>
        </w:rPr>
      </w:pPr>
    </w:p>
    <w:p w:rsidR="00ED6187" w:rsidRPr="00300F72" w:rsidRDefault="00ED6187" w:rsidP="00ED6187">
      <w:pPr>
        <w:tabs>
          <w:tab w:val="left" w:pos="426"/>
          <w:tab w:val="left" w:pos="851"/>
        </w:tabs>
        <w:ind w:left="567"/>
        <w:contextualSpacing/>
        <w:jc w:val="center"/>
        <w:outlineLvl w:val="0"/>
        <w:rPr>
          <w:lang w:val="uk-UA"/>
        </w:rPr>
      </w:pPr>
      <w:r w:rsidRPr="00300F72">
        <w:rPr>
          <w:lang w:val="uk-UA"/>
        </w:rPr>
        <w:t>Довідка</w:t>
      </w:r>
    </w:p>
    <w:p w:rsidR="00ED6187" w:rsidRPr="00300F72" w:rsidRDefault="00ED6187" w:rsidP="00ED6187">
      <w:pPr>
        <w:tabs>
          <w:tab w:val="left" w:pos="851"/>
        </w:tabs>
        <w:contextualSpacing/>
        <w:jc w:val="center"/>
        <w:outlineLvl w:val="0"/>
        <w:rPr>
          <w:lang w:val="uk-UA"/>
        </w:rPr>
      </w:pPr>
      <w:r w:rsidRPr="00300F72">
        <w:rPr>
          <w:lang w:val="uk-UA"/>
        </w:rPr>
        <w:t>перелік автозаправних станцій (АЗС), за якими буде здійснюватися заправка автотранспорту Замовника</w:t>
      </w:r>
    </w:p>
    <w:p w:rsidR="00ED6187" w:rsidRPr="00300F72" w:rsidRDefault="00ED6187" w:rsidP="00ED6187">
      <w:pPr>
        <w:tabs>
          <w:tab w:val="left" w:pos="426"/>
          <w:tab w:val="left" w:pos="851"/>
        </w:tabs>
        <w:ind w:left="567"/>
        <w:contextualSpacing/>
        <w:jc w:val="center"/>
        <w:outlineLvl w:val="0"/>
        <w:rPr>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071"/>
        <w:gridCol w:w="2387"/>
        <w:gridCol w:w="2665"/>
        <w:gridCol w:w="3005"/>
      </w:tblGrid>
      <w:tr w:rsidR="00ED6187" w:rsidRPr="00300F72" w:rsidTr="00371E23">
        <w:trPr>
          <w:trHeight w:val="70"/>
        </w:trPr>
        <w:tc>
          <w:tcPr>
            <w:tcW w:w="506" w:type="dxa"/>
            <w:tcBorders>
              <w:top w:val="single" w:sz="4" w:space="0" w:color="000000"/>
              <w:left w:val="single" w:sz="4" w:space="0" w:color="000000"/>
              <w:bottom w:val="single" w:sz="4" w:space="0" w:color="000000"/>
              <w:right w:val="single" w:sz="4" w:space="0" w:color="000000"/>
            </w:tcBorders>
            <w:shd w:val="clear" w:color="auto" w:fill="auto"/>
            <w:hideMark/>
          </w:tcPr>
          <w:p w:rsidR="00ED6187" w:rsidRPr="00300F72" w:rsidRDefault="00ED6187" w:rsidP="00371E23">
            <w:pPr>
              <w:tabs>
                <w:tab w:val="left" w:pos="284"/>
              </w:tabs>
              <w:contextualSpacing/>
              <w:rPr>
                <w:lang w:val="uk-UA"/>
              </w:rPr>
            </w:pPr>
            <w:r w:rsidRPr="00300F72">
              <w:rPr>
                <w:lang w:val="uk-UA"/>
              </w:rPr>
              <w:t>№ з/п</w:t>
            </w:r>
          </w:p>
        </w:tc>
        <w:tc>
          <w:tcPr>
            <w:tcW w:w="1071" w:type="dxa"/>
            <w:tcBorders>
              <w:top w:val="single" w:sz="4" w:space="0" w:color="000000"/>
              <w:left w:val="single" w:sz="4" w:space="0" w:color="000000"/>
              <w:bottom w:val="single" w:sz="4" w:space="0" w:color="000000"/>
              <w:right w:val="single" w:sz="4" w:space="0" w:color="000000"/>
            </w:tcBorders>
            <w:shd w:val="clear" w:color="auto" w:fill="auto"/>
            <w:hideMark/>
          </w:tcPr>
          <w:p w:rsidR="00ED6187" w:rsidRPr="00300F72" w:rsidRDefault="00ED6187" w:rsidP="00371E23">
            <w:pPr>
              <w:tabs>
                <w:tab w:val="left" w:pos="284"/>
              </w:tabs>
              <w:contextualSpacing/>
              <w:rPr>
                <w:lang w:val="uk-UA"/>
              </w:rPr>
            </w:pPr>
            <w:r w:rsidRPr="00300F72">
              <w:rPr>
                <w:lang w:val="uk-UA"/>
              </w:rPr>
              <w:t>Назва АЗС</w:t>
            </w:r>
          </w:p>
        </w:tc>
        <w:tc>
          <w:tcPr>
            <w:tcW w:w="2387" w:type="dxa"/>
            <w:tcBorders>
              <w:top w:val="single" w:sz="4" w:space="0" w:color="000000"/>
              <w:left w:val="single" w:sz="4" w:space="0" w:color="000000"/>
              <w:bottom w:val="single" w:sz="4" w:space="0" w:color="000000"/>
              <w:right w:val="single" w:sz="4" w:space="0" w:color="000000"/>
            </w:tcBorders>
            <w:shd w:val="clear" w:color="auto" w:fill="auto"/>
            <w:hideMark/>
          </w:tcPr>
          <w:p w:rsidR="00ED6187" w:rsidRPr="00300F72" w:rsidRDefault="00ED6187" w:rsidP="00371E23">
            <w:pPr>
              <w:tabs>
                <w:tab w:val="left" w:pos="284"/>
              </w:tabs>
              <w:contextualSpacing/>
              <w:rPr>
                <w:lang w:val="uk-UA"/>
              </w:rPr>
            </w:pPr>
            <w:r w:rsidRPr="00300F72">
              <w:rPr>
                <w:lang w:val="uk-UA"/>
              </w:rPr>
              <w:t>Адреса розташування АЗС</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ED6187" w:rsidRPr="00300F72" w:rsidRDefault="00ED6187" w:rsidP="00371E23">
            <w:pPr>
              <w:tabs>
                <w:tab w:val="left" w:pos="284"/>
              </w:tabs>
              <w:contextualSpacing/>
              <w:rPr>
                <w:lang w:val="uk-UA"/>
              </w:rPr>
            </w:pPr>
            <w:r w:rsidRPr="00300F72">
              <w:rPr>
                <w:lang w:val="uk-UA"/>
              </w:rPr>
              <w:t xml:space="preserve">Форма власності АЗС учасника </w:t>
            </w:r>
          </w:p>
          <w:p w:rsidR="00ED6187" w:rsidRPr="00300F72" w:rsidRDefault="00ED6187" w:rsidP="00371E23">
            <w:pPr>
              <w:tabs>
                <w:tab w:val="left" w:pos="284"/>
              </w:tabs>
              <w:contextualSpacing/>
              <w:jc w:val="center"/>
              <w:rPr>
                <w:lang w:val="uk-UA"/>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hideMark/>
          </w:tcPr>
          <w:p w:rsidR="00ED6187" w:rsidRPr="00300F72" w:rsidRDefault="00ED6187" w:rsidP="00371E23">
            <w:pPr>
              <w:tabs>
                <w:tab w:val="left" w:pos="284"/>
              </w:tabs>
              <w:contextualSpacing/>
              <w:rPr>
                <w:lang w:val="uk-UA"/>
              </w:rPr>
            </w:pPr>
            <w:r w:rsidRPr="00300F72">
              <w:rPr>
                <w:lang w:val="uk-UA"/>
              </w:rPr>
              <w:t xml:space="preserve">Реєстраційний № лі ценз  </w:t>
            </w:r>
            <w:proofErr w:type="spellStart"/>
            <w:r w:rsidRPr="00300F72">
              <w:rPr>
                <w:lang w:val="uk-UA"/>
              </w:rPr>
              <w:t>ії</w:t>
            </w:r>
            <w:proofErr w:type="spellEnd"/>
            <w:r w:rsidRPr="00300F72">
              <w:rPr>
                <w:lang w:val="uk-UA"/>
              </w:rPr>
              <w:t xml:space="preserve"> на роздрібну торгівлю пальним на зазначеній АЗС</w:t>
            </w:r>
          </w:p>
        </w:tc>
      </w:tr>
      <w:tr w:rsidR="00ED6187" w:rsidRPr="00300F72" w:rsidTr="00371E23">
        <w:trPr>
          <w:trHeight w:val="23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rPr>
                <w:lang w:val="uk-UA"/>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jc w:val="both"/>
              <w:rPr>
                <w:lang w:val="uk-UA"/>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jc w:val="both"/>
              <w:rPr>
                <w:lang w:val="uk-UA"/>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jc w:val="both"/>
              <w:rPr>
                <w:lang w:val="uk-UA"/>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jc w:val="both"/>
              <w:rPr>
                <w:lang w:val="uk-UA"/>
              </w:rPr>
            </w:pPr>
          </w:p>
        </w:tc>
      </w:tr>
      <w:tr w:rsidR="00ED6187" w:rsidRPr="00300F72" w:rsidTr="00371E23">
        <w:trPr>
          <w:trHeight w:val="233"/>
        </w:trPr>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rPr>
                <w:lang w:val="uk-UA"/>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jc w:val="both"/>
              <w:rPr>
                <w:lang w:val="uk-UA"/>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jc w:val="both"/>
              <w:rPr>
                <w:lang w:val="uk-UA"/>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jc w:val="both"/>
              <w:rPr>
                <w:lang w:val="uk-UA"/>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D6187" w:rsidRPr="00300F72" w:rsidRDefault="00ED6187" w:rsidP="00371E23">
            <w:pPr>
              <w:tabs>
                <w:tab w:val="left" w:pos="284"/>
              </w:tabs>
              <w:contextualSpacing/>
              <w:jc w:val="both"/>
              <w:rPr>
                <w:lang w:val="uk-UA"/>
              </w:rPr>
            </w:pPr>
          </w:p>
        </w:tc>
      </w:tr>
    </w:tbl>
    <w:p w:rsidR="00ED6187" w:rsidRPr="00300F72" w:rsidRDefault="00ED6187" w:rsidP="00ED6187">
      <w:pPr>
        <w:jc w:val="both"/>
        <w:rPr>
          <w:lang w:val="uk-UA"/>
        </w:rPr>
      </w:pPr>
      <w:bookmarkStart w:id="1" w:name="_Hlk64368855"/>
      <w:r w:rsidRPr="00300F72">
        <w:rPr>
          <w:rFonts w:eastAsia="Times New Roman"/>
          <w:color w:val="000000"/>
          <w:spacing w:val="-5"/>
          <w:sz w:val="20"/>
          <w:szCs w:val="20"/>
          <w:lang w:val="uk-UA"/>
        </w:rPr>
        <w:t xml:space="preserve">         </w:t>
      </w:r>
      <w:bookmarkEnd w:id="1"/>
      <w:r w:rsidRPr="00300F72">
        <w:rPr>
          <w:sz w:val="20"/>
          <w:szCs w:val="20"/>
          <w:lang w:val="uk-UA" w:eastAsia="en-US"/>
        </w:rPr>
        <w:t xml:space="preserve">          </w:t>
      </w:r>
    </w:p>
    <w:p w:rsidR="00ED6187" w:rsidRPr="00300F72" w:rsidRDefault="00ED6187" w:rsidP="00ED6187">
      <w:pPr>
        <w:jc w:val="both"/>
        <w:rPr>
          <w:lang w:val="uk-UA"/>
        </w:rPr>
      </w:pPr>
      <w:r w:rsidRPr="00300F72">
        <w:rPr>
          <w:lang w:val="uk-UA"/>
        </w:rPr>
        <w:t xml:space="preserve">        3.3.Термін дії талонів або </w:t>
      </w:r>
      <w:proofErr w:type="spellStart"/>
      <w:r w:rsidRPr="00300F72">
        <w:rPr>
          <w:lang w:val="uk-UA"/>
        </w:rPr>
        <w:t>скретч-карток</w:t>
      </w:r>
      <w:proofErr w:type="spellEnd"/>
      <w:r w:rsidRPr="00300F72">
        <w:rPr>
          <w:lang w:val="uk-UA"/>
        </w:rPr>
        <w:t xml:space="preserve"> на пальне повинен становити не менше </w:t>
      </w:r>
      <w:r w:rsidR="003F2CA5">
        <w:rPr>
          <w:lang w:val="uk-UA"/>
        </w:rPr>
        <w:t>24</w:t>
      </w:r>
      <w:r w:rsidRPr="00300F72">
        <w:rPr>
          <w:lang w:val="uk-UA"/>
        </w:rPr>
        <w:t xml:space="preserve"> місяців з моменту їх отримання Замовником. Учасник повинен надати письмове підтвердження про термін дії талонів / </w:t>
      </w:r>
      <w:proofErr w:type="spellStart"/>
      <w:r w:rsidRPr="00300F72">
        <w:rPr>
          <w:lang w:val="uk-UA"/>
        </w:rPr>
        <w:t>скретч</w:t>
      </w:r>
      <w:proofErr w:type="spellEnd"/>
      <w:r w:rsidRPr="00300F72">
        <w:rPr>
          <w:lang w:val="uk-UA"/>
        </w:rPr>
        <w:t xml:space="preserve"> - карток, які дійсні для використання по всій території України де </w:t>
      </w:r>
      <w:proofErr w:type="spellStart"/>
      <w:r w:rsidRPr="00300F72">
        <w:rPr>
          <w:lang w:val="uk-UA"/>
        </w:rPr>
        <w:t>розшташовані</w:t>
      </w:r>
      <w:proofErr w:type="spellEnd"/>
      <w:r w:rsidRPr="00300F72">
        <w:rPr>
          <w:lang w:val="uk-UA"/>
        </w:rPr>
        <w:t xml:space="preserve"> АЗС учасника.  </w:t>
      </w:r>
    </w:p>
    <w:p w:rsidR="00ED6187" w:rsidRPr="00300F72" w:rsidRDefault="00ED6187" w:rsidP="00ED6187">
      <w:pPr>
        <w:jc w:val="both"/>
        <w:rPr>
          <w:rFonts w:eastAsia="Times New Roman"/>
          <w:lang w:val="uk-UA"/>
        </w:rPr>
      </w:pPr>
      <w:r w:rsidRPr="00300F72">
        <w:rPr>
          <w:lang w:val="uk-UA"/>
        </w:rPr>
        <w:t xml:space="preserve">         3.4. Паливо повинно відпускатись цілодобово на підставі пред’явлення замовником талонів або </w:t>
      </w:r>
      <w:proofErr w:type="spellStart"/>
      <w:r w:rsidRPr="00300F72">
        <w:rPr>
          <w:lang w:val="uk-UA"/>
        </w:rPr>
        <w:t>скретч-карток</w:t>
      </w:r>
      <w:proofErr w:type="spellEnd"/>
      <w:r w:rsidRPr="00300F72">
        <w:rPr>
          <w:lang w:val="uk-UA"/>
        </w:rPr>
        <w:t xml:space="preserve"> номіналом по 10 л, або 15 л, або 20 л на АЗС, зазначених учасником у тендерній пропозиції. Учасник повинен надати  </w:t>
      </w:r>
      <w:r w:rsidRPr="00300F72">
        <w:rPr>
          <w:rFonts w:eastAsia="Times New Roman"/>
          <w:lang w:val="uk-UA"/>
        </w:rPr>
        <w:t xml:space="preserve">копії єдиних зразків паливних талонів / </w:t>
      </w:r>
      <w:proofErr w:type="spellStart"/>
      <w:r w:rsidRPr="00300F72">
        <w:rPr>
          <w:rFonts w:eastAsia="Times New Roman"/>
          <w:lang w:val="uk-UA"/>
        </w:rPr>
        <w:t>скретч-карток</w:t>
      </w:r>
      <w:proofErr w:type="spellEnd"/>
      <w:r w:rsidRPr="00300F72">
        <w:rPr>
          <w:rFonts w:eastAsia="Times New Roman"/>
          <w:lang w:val="uk-UA"/>
        </w:rPr>
        <w:t xml:space="preserve"> за якими здійснюватиметься відпуск палива. Паливний талон / </w:t>
      </w:r>
      <w:proofErr w:type="spellStart"/>
      <w:r w:rsidRPr="00300F72">
        <w:rPr>
          <w:rFonts w:eastAsia="Times New Roman"/>
          <w:lang w:val="uk-UA"/>
        </w:rPr>
        <w:t>скретч-картка</w:t>
      </w:r>
      <w:proofErr w:type="spellEnd"/>
      <w:r w:rsidRPr="00300F72">
        <w:rPr>
          <w:rFonts w:eastAsia="Times New Roman"/>
          <w:lang w:val="uk-UA"/>
        </w:rPr>
        <w:t xml:space="preserve"> повинна містити назву мережі АЗС або бренд АЗС, на яких буде здійснюватися відпуск палива. </w:t>
      </w:r>
    </w:p>
    <w:p w:rsidR="00ED6187" w:rsidRPr="00300F72" w:rsidRDefault="00ED6187" w:rsidP="00ED6187">
      <w:pPr>
        <w:tabs>
          <w:tab w:val="left" w:pos="567"/>
        </w:tabs>
        <w:jc w:val="both"/>
        <w:rPr>
          <w:rFonts w:eastAsia="Times New Roman"/>
          <w:lang w:val="uk-UA"/>
        </w:rPr>
      </w:pPr>
      <w:r w:rsidRPr="00300F72">
        <w:rPr>
          <w:rFonts w:eastAsia="Times New Roman"/>
          <w:lang w:val="uk-UA"/>
        </w:rPr>
        <w:t xml:space="preserve">         </w:t>
      </w:r>
      <w:r w:rsidRPr="00300F72">
        <w:rPr>
          <w:lang w:val="uk-UA"/>
        </w:rPr>
        <w:t>Учасник повинен надати Замовнику:</w:t>
      </w:r>
    </w:p>
    <w:p w:rsidR="00ED6187" w:rsidRPr="00300F72" w:rsidRDefault="00ED6187" w:rsidP="00ED6187">
      <w:pPr>
        <w:ind w:right="74"/>
        <w:jc w:val="both"/>
        <w:rPr>
          <w:rFonts w:eastAsia="Times New Roman"/>
          <w:color w:val="000000"/>
          <w:lang w:val="uk-UA"/>
        </w:rPr>
      </w:pPr>
      <w:r w:rsidRPr="00300F72">
        <w:rPr>
          <w:lang w:val="uk-UA"/>
        </w:rPr>
        <w:t xml:space="preserve">        3.5. </w:t>
      </w:r>
      <w:r w:rsidRPr="00300F72">
        <w:rPr>
          <w:color w:val="121212"/>
          <w:shd w:val="clear" w:color="auto" w:fill="FFFFFF"/>
          <w:lang w:val="uk-UA"/>
        </w:rPr>
        <w:t>Гарантійний лист, в якому Учасник</w:t>
      </w:r>
      <w:r w:rsidRPr="00300F72">
        <w:rPr>
          <w:color w:val="121212"/>
          <w:shd w:val="clear" w:color="auto" w:fill="FFFFFF"/>
        </w:rPr>
        <w:t xml:space="preserve"> (</w:t>
      </w:r>
      <w:r w:rsidRPr="00300F72">
        <w:rPr>
          <w:color w:val="121212"/>
          <w:shd w:val="clear" w:color="auto" w:fill="FFFFFF"/>
          <w:lang w:val="uk-UA"/>
        </w:rPr>
        <w:t xml:space="preserve">у випадку коли Учасник є емітентом талонів) зазначає, що зобов’язується в подальшому безкоштовно замінити в співвідношенні один до одного або продовжити термін дії залишку </w:t>
      </w:r>
      <w:r w:rsidRPr="00300F72">
        <w:rPr>
          <w:lang w:val="uk-UA"/>
        </w:rPr>
        <w:t>талонів</w:t>
      </w:r>
      <w:r w:rsidRPr="00300F72">
        <w:t xml:space="preserve"> </w:t>
      </w:r>
      <w:r w:rsidRPr="00300F72">
        <w:rPr>
          <w:lang w:val="uk-UA"/>
        </w:rPr>
        <w:t xml:space="preserve"> або </w:t>
      </w:r>
      <w:proofErr w:type="spellStart"/>
      <w:r w:rsidRPr="00300F72">
        <w:rPr>
          <w:lang w:val="uk-UA"/>
        </w:rPr>
        <w:t>скретч-карток</w:t>
      </w:r>
      <w:proofErr w:type="spellEnd"/>
      <w:r w:rsidRPr="00300F72">
        <w:rPr>
          <w:lang w:val="uk-UA"/>
        </w:rPr>
        <w:t xml:space="preserve"> або бланків дозволів на пальне</w:t>
      </w:r>
      <w:r w:rsidRPr="00300F72">
        <w:rPr>
          <w:b/>
          <w:bCs/>
          <w:color w:val="000000"/>
          <w:lang w:val="uk-UA"/>
        </w:rPr>
        <w:t xml:space="preserve"> </w:t>
      </w:r>
      <w:r w:rsidRPr="00300F72">
        <w:rPr>
          <w:color w:val="121212"/>
          <w:shd w:val="clear" w:color="auto" w:fill="FFFFFF"/>
          <w:lang w:val="uk-UA"/>
        </w:rPr>
        <w:t xml:space="preserve">строком не менше 3 роки, які не будуть використанні замовником  у встановлені терміни їх дії. У випадку коли Учасник не є емітентом талонів, то він повинен надати гарантійний лист від власника талонів (емітента), щодо зобов’язання в подальшому безкоштовно замінити в співвідношенні один до одного або продовжити термін дії залишку </w:t>
      </w:r>
      <w:r w:rsidRPr="00300F72">
        <w:rPr>
          <w:lang w:val="uk-UA"/>
        </w:rPr>
        <w:t>талонів</w:t>
      </w:r>
      <w:r w:rsidRPr="00300F72">
        <w:t xml:space="preserve"> </w:t>
      </w:r>
      <w:r w:rsidRPr="00300F72">
        <w:rPr>
          <w:lang w:val="uk-UA"/>
        </w:rPr>
        <w:t xml:space="preserve"> або </w:t>
      </w:r>
      <w:proofErr w:type="spellStart"/>
      <w:r w:rsidRPr="00300F72">
        <w:rPr>
          <w:lang w:val="uk-UA"/>
        </w:rPr>
        <w:t>скретч-карток</w:t>
      </w:r>
      <w:proofErr w:type="spellEnd"/>
      <w:r w:rsidRPr="00300F72">
        <w:rPr>
          <w:lang w:val="uk-UA"/>
        </w:rPr>
        <w:t xml:space="preserve"> або на пальне</w:t>
      </w:r>
      <w:r w:rsidRPr="00300F72">
        <w:rPr>
          <w:b/>
          <w:bCs/>
          <w:color w:val="000000"/>
          <w:lang w:val="uk-UA"/>
        </w:rPr>
        <w:t xml:space="preserve"> </w:t>
      </w:r>
      <w:r w:rsidRPr="00300F72">
        <w:rPr>
          <w:color w:val="121212"/>
          <w:shd w:val="clear" w:color="auto" w:fill="FFFFFF"/>
          <w:lang w:val="uk-UA"/>
        </w:rPr>
        <w:t>строком не менше 3 роки, які не будуть використанні замовником</w:t>
      </w:r>
      <w:r>
        <w:rPr>
          <w:color w:val="121212"/>
          <w:shd w:val="clear" w:color="auto" w:fill="FFFFFF"/>
          <w:lang w:val="uk-UA"/>
        </w:rPr>
        <w:t>.</w:t>
      </w:r>
      <w:r w:rsidRPr="00300F72">
        <w:rPr>
          <w:color w:val="121212"/>
          <w:shd w:val="clear" w:color="auto" w:fill="FFFFFF"/>
          <w:lang w:val="uk-UA"/>
        </w:rPr>
        <w:t xml:space="preserve">  </w:t>
      </w:r>
    </w:p>
    <w:p w:rsidR="00ED6187" w:rsidRPr="00300F72" w:rsidRDefault="00ED6187" w:rsidP="00ED6187">
      <w:pPr>
        <w:pStyle w:val="a3"/>
        <w:spacing w:before="0" w:after="0"/>
        <w:jc w:val="both"/>
      </w:pPr>
      <w:r w:rsidRPr="00300F72">
        <w:t xml:space="preserve">       3.6. Сертифікат відповідності або паспорт якості на кожне найменування товару, який підтверджує, якість та відповідність продукції, чинний на момент подання пропозиції (копія, завірена підписом уповноваженої особи учасника та печаткою). Якщо товар не підлягає обов’язковій сертифікації в Україні, чи для даного виду товару, то  в такому випадку учасником подається пояснення, з посиланням на нормативні акти. </w:t>
      </w:r>
    </w:p>
    <w:p w:rsidR="00ED6187" w:rsidRPr="00300F72" w:rsidRDefault="00ED6187" w:rsidP="00ED6187">
      <w:pPr>
        <w:widowControl w:val="0"/>
        <w:jc w:val="both"/>
        <w:rPr>
          <w:rFonts w:eastAsia="Times New Roman"/>
          <w:lang w:val="uk-UA"/>
        </w:rPr>
      </w:pPr>
      <w:r w:rsidRPr="00300F72">
        <w:rPr>
          <w:lang w:val="uk-UA"/>
        </w:rPr>
        <w:lastRenderedPageBreak/>
        <w:t xml:space="preserve">        </w:t>
      </w:r>
      <w:r w:rsidRPr="00300F72">
        <w:rPr>
          <w:rFonts w:eastAsia="Times New Roman"/>
          <w:lang w:val="uk-UA"/>
        </w:rPr>
        <w:t xml:space="preserve"> 3.7. Лист від власника  мережі АЗС, який адресований Замовнику про гарантований відпуск палива по талонах / </w:t>
      </w:r>
      <w:proofErr w:type="spellStart"/>
      <w:r w:rsidRPr="00300F72">
        <w:rPr>
          <w:rFonts w:eastAsia="Times New Roman"/>
          <w:lang w:val="uk-UA"/>
        </w:rPr>
        <w:t>скретч-картках</w:t>
      </w:r>
      <w:proofErr w:type="spellEnd"/>
      <w:r w:rsidRPr="00300F72">
        <w:rPr>
          <w:rFonts w:eastAsia="Times New Roman"/>
          <w:lang w:val="uk-UA"/>
        </w:rPr>
        <w:t xml:space="preserve">  запропонованого учасником зразка (лист повинен містити назву, місцезнаходження кожної АЗС та єдині зразки талонів/</w:t>
      </w:r>
      <w:proofErr w:type="spellStart"/>
      <w:r w:rsidRPr="00300F72">
        <w:rPr>
          <w:rFonts w:eastAsia="Times New Roman"/>
          <w:lang w:val="uk-UA"/>
        </w:rPr>
        <w:t>скретч-карток</w:t>
      </w:r>
      <w:proofErr w:type="spellEnd"/>
      <w:r w:rsidRPr="00300F72">
        <w:rPr>
          <w:rFonts w:eastAsia="Times New Roman"/>
          <w:lang w:val="uk-UA"/>
        </w:rPr>
        <w:t xml:space="preserve"> за якими власник АЗС гарантує цілодобове і безперебійне</w:t>
      </w:r>
      <w:r>
        <w:rPr>
          <w:rFonts w:eastAsia="Times New Roman"/>
          <w:lang w:val="uk-UA"/>
        </w:rPr>
        <w:t xml:space="preserve">  здійснення відпуску бензину </w:t>
      </w:r>
      <w:r w:rsidRPr="00300F72">
        <w:rPr>
          <w:rFonts w:eastAsia="Times New Roman"/>
          <w:lang w:val="uk-UA"/>
        </w:rPr>
        <w:t xml:space="preserve">та дизельного палива </w:t>
      </w:r>
      <w:r w:rsidR="003F2CA5">
        <w:rPr>
          <w:rFonts w:eastAsia="Times New Roman"/>
          <w:lang w:val="uk-UA"/>
        </w:rPr>
        <w:t>4</w:t>
      </w:r>
      <w:r w:rsidRPr="00300F72">
        <w:rPr>
          <w:rFonts w:eastAsia="Times New Roman"/>
          <w:lang w:val="uk-UA"/>
        </w:rPr>
        <w:t xml:space="preserve"> державному пожежно-рятувальному загону ГУ ДСНС України у Львівській області у необхідній кількості, якості та у потрібні терміни на власних АЗС згідно договору про </w:t>
      </w:r>
      <w:proofErr w:type="spellStart"/>
      <w:r w:rsidRPr="00300F72">
        <w:rPr>
          <w:rFonts w:eastAsia="Times New Roman"/>
          <w:lang w:val="uk-UA"/>
        </w:rPr>
        <w:t>аренду</w:t>
      </w:r>
      <w:proofErr w:type="spellEnd"/>
      <w:r w:rsidRPr="00300F72">
        <w:rPr>
          <w:rFonts w:eastAsia="Times New Roman"/>
          <w:lang w:val="uk-UA"/>
        </w:rPr>
        <w:t xml:space="preserve"> (</w:t>
      </w:r>
      <w:proofErr w:type="spellStart"/>
      <w:r w:rsidRPr="00300F72">
        <w:rPr>
          <w:rFonts w:eastAsia="Times New Roman"/>
          <w:lang w:val="uk-UA"/>
        </w:rPr>
        <w:t>партренство</w:t>
      </w:r>
      <w:proofErr w:type="spellEnd"/>
      <w:r w:rsidRPr="00300F72">
        <w:rPr>
          <w:rFonts w:eastAsia="Times New Roman"/>
          <w:lang w:val="uk-UA"/>
        </w:rPr>
        <w:t>) між ТОВ «_____________» та ТОВ «_____________»  від __________ № ____ за талонами (</w:t>
      </w:r>
      <w:proofErr w:type="spellStart"/>
      <w:r w:rsidRPr="00300F72">
        <w:rPr>
          <w:rFonts w:eastAsia="Times New Roman"/>
          <w:lang w:val="uk-UA"/>
        </w:rPr>
        <w:t>скреч</w:t>
      </w:r>
      <w:proofErr w:type="spellEnd"/>
      <w:r w:rsidRPr="00300F72">
        <w:rPr>
          <w:rFonts w:eastAsia="Times New Roman"/>
          <w:lang w:val="uk-UA"/>
        </w:rPr>
        <w:t xml:space="preserve"> картками) орендаря (партнера) ТОВ «______________» терміном не меншим </w:t>
      </w:r>
      <w:r w:rsidR="003F2CA5">
        <w:rPr>
          <w:rFonts w:eastAsia="Times New Roman"/>
          <w:lang w:val="uk-UA"/>
        </w:rPr>
        <w:t>24</w:t>
      </w:r>
      <w:r w:rsidRPr="00300F72">
        <w:rPr>
          <w:rFonts w:eastAsia="Times New Roman"/>
          <w:lang w:val="uk-UA"/>
        </w:rPr>
        <w:t xml:space="preserve"> місяців згідно тендерних умов оголошення № </w:t>
      </w:r>
      <w:r w:rsidRPr="00300F72">
        <w:rPr>
          <w:rFonts w:eastAsia="Times New Roman"/>
          <w:lang w:val="en-US"/>
        </w:rPr>
        <w:t>UA</w:t>
      </w:r>
      <w:r w:rsidRPr="00300F72">
        <w:rPr>
          <w:rFonts w:eastAsia="Times New Roman"/>
        </w:rPr>
        <w:t xml:space="preserve"> ______________ </w:t>
      </w:r>
      <w:r w:rsidRPr="00300F72">
        <w:rPr>
          <w:rFonts w:eastAsia="Times New Roman"/>
          <w:lang w:val="uk-UA"/>
        </w:rPr>
        <w:t xml:space="preserve">). </w:t>
      </w:r>
    </w:p>
    <w:p w:rsidR="00ED6187" w:rsidRPr="00300F72" w:rsidRDefault="00ED6187" w:rsidP="00ED6187">
      <w:pPr>
        <w:jc w:val="both"/>
        <w:rPr>
          <w:color w:val="FF0000"/>
          <w:lang w:val="uk-UA"/>
        </w:rPr>
      </w:pPr>
    </w:p>
    <w:p w:rsidR="00ED6187" w:rsidRPr="00300F72" w:rsidRDefault="00ED6187" w:rsidP="00ED6187">
      <w:pPr>
        <w:jc w:val="center"/>
        <w:rPr>
          <w:b/>
          <w:lang w:val="uk-UA"/>
        </w:rPr>
      </w:pPr>
    </w:p>
    <w:p w:rsidR="00ED6187" w:rsidRDefault="00ED6187" w:rsidP="00ED6187">
      <w:pPr>
        <w:ind w:left="2832" w:firstLine="708"/>
        <w:jc w:val="right"/>
        <w:rPr>
          <w:b/>
          <w:lang w:val="uk-UA"/>
        </w:rPr>
      </w:pPr>
    </w:p>
    <w:p w:rsidR="00ED6187" w:rsidRDefault="00ED6187" w:rsidP="00ED6187">
      <w:pPr>
        <w:ind w:left="2832" w:firstLine="708"/>
        <w:jc w:val="right"/>
        <w:rPr>
          <w:b/>
          <w:lang w:val="uk-UA"/>
        </w:rPr>
      </w:pPr>
    </w:p>
    <w:p w:rsidR="00212E53" w:rsidRPr="00ED6187" w:rsidRDefault="008C383D">
      <w:pPr>
        <w:rPr>
          <w:lang w:val="uk-UA"/>
        </w:rPr>
      </w:pPr>
    </w:p>
    <w:sectPr w:rsidR="00212E53" w:rsidRPr="00ED6187" w:rsidSect="003F2CA5">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D6187"/>
    <w:rsid w:val="0004668F"/>
    <w:rsid w:val="000E177D"/>
    <w:rsid w:val="00293D46"/>
    <w:rsid w:val="003F2CA5"/>
    <w:rsid w:val="004B0762"/>
    <w:rsid w:val="008C383D"/>
    <w:rsid w:val="00932ECB"/>
    <w:rsid w:val="00DC04E6"/>
    <w:rsid w:val="00E22994"/>
    <w:rsid w:val="00ED6187"/>
    <w:rsid w:val="00FC4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8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 Знак18 Знак, 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
    <w:basedOn w:val="a"/>
    <w:link w:val="a4"/>
    <w:uiPriority w:val="99"/>
    <w:qFormat/>
    <w:rsid w:val="00ED6187"/>
    <w:pPr>
      <w:suppressAutoHyphens/>
      <w:spacing w:before="280" w:after="280"/>
    </w:pPr>
    <w:rPr>
      <w:rFonts w:ascii="Times New Roman CYR" w:hAnsi="Times New Roman CYR"/>
      <w:lang w:val="uk-UA" w:eastAsia="ar-SA"/>
    </w:rPr>
  </w:style>
  <w:style w:type="character" w:customStyle="1" w:styleId="a4">
    <w:name w:val="Обычный (веб) Знак"/>
    <w:aliases w:val="Знак18 Знак Знак,Знак17 Знак1 Знак, Знак18 Знак Знак, Знак17 Знак1 Знак,Обычный (Web) Знак Знак Знак Знак1,Обычный (Web) Знак Знак Знак Знак Знак Знак Знак,Обычный (Web) Знак Знак Знак Знак Знак"/>
    <w:link w:val="a3"/>
    <w:uiPriority w:val="99"/>
    <w:rsid w:val="00ED6187"/>
    <w:rPr>
      <w:rFonts w:ascii="Times New Roman CYR" w:eastAsia="Calibri" w:hAnsi="Times New Roman CYR" w:cs="Times New Roman"/>
      <w:sz w:val="24"/>
      <w:szCs w:val="24"/>
      <w:lang w:val="uk-UA" w:eastAsia="ar-SA"/>
    </w:rPr>
  </w:style>
  <w:style w:type="character" w:customStyle="1" w:styleId="apple-converted-space">
    <w:name w:val="apple-converted-space"/>
    <w:rsid w:val="00ED6187"/>
  </w:style>
  <w:style w:type="paragraph" w:styleId="a5">
    <w:name w:val="List Paragraph"/>
    <w:basedOn w:val="a"/>
    <w:qFormat/>
    <w:rsid w:val="00ED6187"/>
    <w:pPr>
      <w:spacing w:after="200" w:line="276" w:lineRule="auto"/>
      <w:ind w:left="720"/>
      <w:contextualSpacing/>
    </w:pPr>
    <w:rPr>
      <w:rFonts w:eastAsia="Times New Roman"/>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F9BA0-35C3-47B6-B18F-256ED2C9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roman</cp:lastModifiedBy>
  <cp:revision>5</cp:revision>
  <dcterms:created xsi:type="dcterms:W3CDTF">2022-02-28T10:58:00Z</dcterms:created>
  <dcterms:modified xsi:type="dcterms:W3CDTF">2022-08-01T14:26:00Z</dcterms:modified>
</cp:coreProperties>
</file>