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CE0" w:rsidRDefault="000C0BFC">
      <w:pPr>
        <w:spacing w:before="68"/>
        <w:ind w:left="5320"/>
        <w:rPr>
          <w:b/>
          <w:sz w:val="24"/>
        </w:rPr>
      </w:pPr>
      <w:r>
        <w:rPr>
          <w:b/>
          <w:sz w:val="24"/>
        </w:rPr>
        <w:t>Додаток 3</w:t>
      </w:r>
      <w:r w:rsidR="00A61A9E">
        <w:rPr>
          <w:b/>
          <w:sz w:val="24"/>
        </w:rPr>
        <w:t xml:space="preserve"> </w:t>
      </w:r>
      <w:r w:rsidR="00A61A9E" w:rsidRPr="00A61A9E">
        <w:rPr>
          <w:b/>
          <w:bCs/>
        </w:rPr>
        <w:t>до Тендерної документації</w:t>
      </w:r>
    </w:p>
    <w:p w:rsidR="00933CE0" w:rsidRDefault="00933CE0">
      <w:pPr>
        <w:pStyle w:val="a3"/>
        <w:spacing w:before="9"/>
        <w:ind w:left="0"/>
        <w:jc w:val="left"/>
        <w:rPr>
          <w:i/>
          <w:sz w:val="23"/>
        </w:rPr>
      </w:pPr>
    </w:p>
    <w:p w:rsidR="00D96775" w:rsidRPr="00D96775" w:rsidRDefault="00D96775" w:rsidP="00D96775">
      <w:pPr>
        <w:widowControl/>
        <w:autoSpaceDE/>
        <w:autoSpaceDN/>
        <w:ind w:right="-1"/>
        <w:jc w:val="center"/>
        <w:rPr>
          <w:rFonts w:eastAsia="Calibri" w:cs="Microsoft Uighur"/>
          <w:b/>
          <w:i/>
          <w:sz w:val="24"/>
          <w:szCs w:val="24"/>
        </w:rPr>
      </w:pPr>
      <w:r w:rsidRPr="00D96775">
        <w:rPr>
          <w:rFonts w:eastAsia="Calibri" w:cs="Microsoft Uighur"/>
          <w:b/>
          <w:i/>
          <w:sz w:val="24"/>
          <w:szCs w:val="24"/>
        </w:rPr>
        <w:t>Технічні, якісні та кількісні характеристики предмета закупівлі</w:t>
      </w:r>
    </w:p>
    <w:p w:rsidR="00D96775" w:rsidRPr="00D96775" w:rsidRDefault="00D96775" w:rsidP="00D96775">
      <w:pPr>
        <w:widowControl/>
        <w:autoSpaceDE/>
        <w:autoSpaceDN/>
        <w:ind w:right="-1"/>
        <w:rPr>
          <w:rFonts w:eastAsia="Calibri" w:cs="Microsoft Uighur"/>
          <w:b/>
          <w:i/>
          <w:sz w:val="24"/>
          <w:szCs w:val="24"/>
        </w:rPr>
      </w:pPr>
      <w:r w:rsidRPr="00D96775">
        <w:rPr>
          <w:rFonts w:eastAsia="Calibri" w:cs="Microsoft Uighur"/>
          <w:bCs/>
          <w:iCs/>
          <w:sz w:val="24"/>
          <w:szCs w:val="24"/>
        </w:rPr>
        <w:t>1. До ціни пропозиції включаються наступні витрати: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податки і збори, обов’язкові платежі, що сплачуються або мають бути сплачені згідно з чинним законодавством;</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вартість послуг, пов’язаних з постачанням газу до точки входу в газорозподільну систему, до якої підключено об’єкти замовника, а саме витрати щодо транспортування природного газу магістральними трубопроводами у відповідності з тарифами, що встановлені згідно постанови НКРЕКП;</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інші витрати, передбачені для товару даного виду згідно з чинним законодавством та тендерною документацією.</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2. 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3. Бюджетні зобов’язання за договором виникають у разі наявності та в межах відповідних бюджетних асигнувань.</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4. Строк (термін) поставки (передачі) товару: до 31.12.2023 р.</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5. Місце поставки (передачі) товару: Україна, Вінницька область, передача товару здійснюється у загальному потоці у внутрішній точці виходу з газотранспортної системи.</w:t>
      </w:r>
    </w:p>
    <w:p w:rsidR="00D96775" w:rsidRPr="00D96775" w:rsidRDefault="00D96775" w:rsidP="00D96775">
      <w:pPr>
        <w:widowControl/>
        <w:autoSpaceDE/>
        <w:autoSpaceDN/>
        <w:jc w:val="both"/>
        <w:rPr>
          <w:rFonts w:eastAsia="Calibri" w:cs="Microsoft Uighur"/>
          <w:bCs/>
          <w:iCs/>
          <w:sz w:val="24"/>
          <w:szCs w:val="24"/>
        </w:rPr>
      </w:pPr>
      <w:r w:rsidRPr="00D96775">
        <w:rPr>
          <w:rFonts w:eastAsia="Calibri" w:cs="Microsoft Uighur"/>
          <w:bCs/>
          <w:iCs/>
          <w:sz w:val="24"/>
          <w:szCs w:val="24"/>
        </w:rPr>
        <w:t xml:space="preserve">6. Кількість (обсяг) поставки: </w:t>
      </w:r>
    </w:p>
    <w:p w:rsidR="00D96775" w:rsidRPr="00D96775" w:rsidRDefault="00D96775" w:rsidP="00D967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eastAsia="Calibri" w:cs="Microsoft Uighur"/>
          <w:sz w:val="24"/>
          <w:szCs w:val="24"/>
        </w:rPr>
      </w:pPr>
    </w:p>
    <w:tbl>
      <w:tblPr>
        <w:tblW w:w="0" w:type="auto"/>
        <w:tblLayout w:type="fixed"/>
        <w:tblLook w:val="0000" w:firstRow="0" w:lastRow="0" w:firstColumn="0" w:lastColumn="0" w:noHBand="0" w:noVBand="0"/>
      </w:tblPr>
      <w:tblGrid>
        <w:gridCol w:w="7225"/>
        <w:gridCol w:w="2126"/>
      </w:tblGrid>
      <w:tr w:rsidR="00D96775" w:rsidRPr="00D96775" w:rsidTr="000024DD">
        <w:tc>
          <w:tcPr>
            <w:tcW w:w="7225" w:type="dxa"/>
            <w:tcBorders>
              <w:top w:val="single" w:sz="4" w:space="0" w:color="000000"/>
              <w:left w:val="single" w:sz="4" w:space="0" w:color="000000"/>
              <w:bottom w:val="single" w:sz="4" w:space="0" w:color="000000"/>
            </w:tcBorders>
            <w:shd w:val="clear" w:color="auto" w:fill="auto"/>
          </w:tcPr>
          <w:p w:rsidR="00D96775" w:rsidRPr="00D96775" w:rsidRDefault="00D96775" w:rsidP="00D96775">
            <w:pPr>
              <w:widowControl/>
              <w:autoSpaceDE/>
              <w:autoSpaceDN/>
              <w:jc w:val="both"/>
              <w:rPr>
                <w:rFonts w:eastAsia="Calibri" w:cs="Microsoft Uighur"/>
                <w:sz w:val="24"/>
                <w:szCs w:val="24"/>
              </w:rPr>
            </w:pPr>
            <w:r w:rsidRPr="00D96775">
              <w:rPr>
                <w:rFonts w:eastAsia="Calibri" w:cs="Microsoft Uighur"/>
                <w:b/>
                <w:sz w:val="24"/>
                <w:szCs w:val="24"/>
              </w:rPr>
              <w:t>Найменування предмету закупівлі</w:t>
            </w:r>
          </w:p>
          <w:p w:rsidR="00D96775" w:rsidRPr="00D96775" w:rsidRDefault="00D96775" w:rsidP="00D96775">
            <w:pPr>
              <w:widowControl/>
              <w:autoSpaceDE/>
              <w:autoSpaceDN/>
              <w:jc w:val="both"/>
              <w:rPr>
                <w:rFonts w:eastAsia="Calibri" w:cs="Microsoft Uighur"/>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775" w:rsidRPr="00D96775" w:rsidRDefault="00D96775" w:rsidP="00D96775">
            <w:pPr>
              <w:widowControl/>
              <w:autoSpaceDE/>
              <w:autoSpaceDN/>
              <w:ind w:right="-4680"/>
              <w:jc w:val="both"/>
              <w:rPr>
                <w:rFonts w:eastAsia="Calibri" w:cs="Microsoft Uighur"/>
                <w:sz w:val="24"/>
                <w:szCs w:val="24"/>
                <w:lang w:val="en-US"/>
              </w:rPr>
            </w:pPr>
            <w:r w:rsidRPr="00D96775">
              <w:rPr>
                <w:rFonts w:eastAsia="Calibri" w:cs="Microsoft Uighur"/>
                <w:b/>
                <w:sz w:val="24"/>
                <w:szCs w:val="24"/>
              </w:rPr>
              <w:t>Кількість</w:t>
            </w:r>
          </w:p>
        </w:tc>
      </w:tr>
      <w:tr w:rsidR="00D96775" w:rsidRPr="00D96775" w:rsidTr="000024DD">
        <w:tc>
          <w:tcPr>
            <w:tcW w:w="7225" w:type="dxa"/>
            <w:tcBorders>
              <w:top w:val="single" w:sz="4" w:space="0" w:color="000000"/>
              <w:left w:val="single" w:sz="4" w:space="0" w:color="000000"/>
              <w:bottom w:val="single" w:sz="4" w:space="0" w:color="000000"/>
            </w:tcBorders>
            <w:shd w:val="clear" w:color="auto" w:fill="auto"/>
          </w:tcPr>
          <w:p w:rsidR="00D96775" w:rsidRPr="009E41FE" w:rsidRDefault="00D96775" w:rsidP="00D96775">
            <w:pPr>
              <w:widowControl/>
              <w:autoSpaceDE/>
              <w:autoSpaceDN/>
              <w:jc w:val="both"/>
              <w:rPr>
                <w:rFonts w:eastAsia="Calibri" w:cs="Microsoft Uighur"/>
                <w:sz w:val="24"/>
                <w:szCs w:val="24"/>
              </w:rPr>
            </w:pPr>
            <w:bookmarkStart w:id="0" w:name="_GoBack"/>
            <w:bookmarkEnd w:id="0"/>
            <w:r w:rsidRPr="009E41FE">
              <w:rPr>
                <w:rFonts w:eastAsia="Calibri" w:cs="Microsoft Uighur"/>
                <w:bCs/>
                <w:sz w:val="24"/>
                <w:szCs w:val="24"/>
              </w:rPr>
              <w:t xml:space="preserve">Природний газ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D96775" w:rsidRPr="009E41FE" w:rsidRDefault="009E41FE" w:rsidP="00D96775">
            <w:pPr>
              <w:widowControl/>
              <w:autoSpaceDE/>
              <w:autoSpaceDN/>
              <w:jc w:val="both"/>
              <w:rPr>
                <w:rFonts w:eastAsia="Calibri" w:cs="Microsoft Uighur"/>
                <w:sz w:val="24"/>
                <w:szCs w:val="24"/>
              </w:rPr>
            </w:pPr>
            <w:r w:rsidRPr="009E41FE">
              <w:rPr>
                <w:rFonts w:eastAsia="Calibri" w:cs="Microsoft Uighur"/>
                <w:sz w:val="24"/>
                <w:szCs w:val="24"/>
              </w:rPr>
              <w:t>100</w:t>
            </w:r>
            <w:r w:rsidR="00D96775" w:rsidRPr="009E41FE">
              <w:rPr>
                <w:rFonts w:eastAsia="Calibri" w:cs="Microsoft Uighur"/>
                <w:sz w:val="24"/>
                <w:szCs w:val="24"/>
              </w:rPr>
              <w:t xml:space="preserve"> тис. </w:t>
            </w:r>
            <w:proofErr w:type="spellStart"/>
            <w:r w:rsidR="00D96775" w:rsidRPr="009E41FE">
              <w:rPr>
                <w:rFonts w:eastAsia="Calibri" w:cs="Microsoft Uighur"/>
                <w:sz w:val="24"/>
                <w:szCs w:val="24"/>
              </w:rPr>
              <w:t>м.куб</w:t>
            </w:r>
            <w:proofErr w:type="spellEnd"/>
            <w:r w:rsidR="00D96775" w:rsidRPr="009E41FE">
              <w:rPr>
                <w:rFonts w:eastAsia="Calibri" w:cs="Microsoft Uighur"/>
                <w:sz w:val="24"/>
                <w:szCs w:val="24"/>
              </w:rPr>
              <w:t xml:space="preserve">. </w:t>
            </w:r>
          </w:p>
        </w:tc>
      </w:tr>
    </w:tbl>
    <w:p w:rsidR="00D96775" w:rsidRPr="00D96775" w:rsidRDefault="00D96775" w:rsidP="00D96775">
      <w:pPr>
        <w:widowControl/>
        <w:autoSpaceDE/>
        <w:autoSpaceDN/>
        <w:jc w:val="both"/>
        <w:rPr>
          <w:rFonts w:eastAsia="Calibri" w:cs="Microsoft Uighur"/>
          <w:sz w:val="24"/>
          <w:szCs w:val="24"/>
        </w:rPr>
      </w:pPr>
    </w:p>
    <w:p w:rsidR="00D96775" w:rsidRPr="00D96775" w:rsidRDefault="00D96775" w:rsidP="00D96775">
      <w:pPr>
        <w:widowControl/>
        <w:autoSpaceDE/>
        <w:autoSpaceDN/>
        <w:jc w:val="both"/>
        <w:rPr>
          <w:rFonts w:eastAsia="Calibri" w:cs="Microsoft Uighur"/>
          <w:sz w:val="24"/>
          <w:szCs w:val="24"/>
        </w:rPr>
      </w:pPr>
      <w:r w:rsidRPr="00D96775">
        <w:rPr>
          <w:rFonts w:eastAsia="Calibri" w:cs="Microsoft Uighur"/>
          <w:sz w:val="24"/>
          <w:szCs w:val="24"/>
        </w:rPr>
        <w:t>Товар запропонований Учасником повинен відповідати вимогам ДСТУ 5542-87 (ГОСТ 5542-87) та Учасник повинен забезпечити Замовника природним газом відповідно до його потреб.</w:t>
      </w:r>
    </w:p>
    <w:p w:rsidR="00D96775" w:rsidRPr="00D96775" w:rsidRDefault="00D96775" w:rsidP="00D96775">
      <w:pPr>
        <w:widowControl/>
        <w:autoSpaceDE/>
        <w:autoSpaceDN/>
        <w:jc w:val="both"/>
        <w:rPr>
          <w:rFonts w:eastAsia="Calibri" w:cs="Microsoft Uighur"/>
          <w:sz w:val="24"/>
          <w:szCs w:val="24"/>
        </w:rPr>
      </w:pPr>
      <w:r w:rsidRPr="00D96775">
        <w:rPr>
          <w:rFonts w:eastAsia="Calibri" w:cs="Microsoft Uighur"/>
          <w:sz w:val="24"/>
          <w:szCs w:val="24"/>
        </w:rPr>
        <w:t>За одиницю виміру кількості газу при його обліку приймається один кубічний метр (куб. м), приведений до стандартних умов: температура газу (t) = 20 градусів Цельсія, тиск газу (P) = 760 мм ртутного стовпчика (101,325 кПа).</w:t>
      </w:r>
    </w:p>
    <w:p w:rsidR="00D96775" w:rsidRPr="00D96775" w:rsidRDefault="00D96775" w:rsidP="00D96775">
      <w:pPr>
        <w:widowControl/>
        <w:shd w:val="clear" w:color="auto" w:fill="FFFFFF"/>
        <w:suppressAutoHyphens/>
        <w:autoSpaceDE/>
        <w:autoSpaceDN/>
        <w:jc w:val="both"/>
        <w:textAlignment w:val="baseline"/>
        <w:rPr>
          <w:rFonts w:eastAsia="Calibri"/>
          <w:sz w:val="24"/>
          <w:szCs w:val="24"/>
        </w:rPr>
      </w:pPr>
      <w:r w:rsidRPr="00D96775">
        <w:rPr>
          <w:rFonts w:eastAsia="Calibri"/>
          <w:sz w:val="24"/>
          <w:szCs w:val="24"/>
          <w:lang w:eastAsia="zh-CN"/>
        </w:rPr>
        <w:t xml:space="preserve">Фізико-хімічні показники газу природного, який постачається Замовнику,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 </w:t>
      </w:r>
    </w:p>
    <w:p w:rsidR="00D96775" w:rsidRPr="00D96775" w:rsidRDefault="00D96775" w:rsidP="00D96775">
      <w:pPr>
        <w:widowControl/>
        <w:shd w:val="clear" w:color="auto" w:fill="FFFFFF"/>
        <w:suppressAutoHyphens/>
        <w:autoSpaceDE/>
        <w:autoSpaceDN/>
        <w:jc w:val="both"/>
        <w:textAlignment w:val="baseline"/>
        <w:rPr>
          <w:sz w:val="24"/>
          <w:szCs w:val="24"/>
          <w:lang w:eastAsia="ru-RU" w:bidi="ru-RU"/>
        </w:rPr>
      </w:pPr>
      <w:r w:rsidRPr="00D96775">
        <w:rPr>
          <w:sz w:val="24"/>
          <w:szCs w:val="24"/>
          <w:lang w:eastAsia="ru-RU" w:bidi="ru-RU"/>
        </w:rPr>
        <w:t xml:space="preserve">7. Регулятором (НКРЕКП) визначено тариф надання послуг із замовлення (бронювання) потужності щодо кожного періоду та обсягу постачання газу за договорами постачання природного газу. Зазначений тариф підлягає включенню до вартості ціни газу за Договором на постачання природного газу та оплаті Споживачем в обсягах та на умовах Договору на рахунок Постачальника. </w:t>
      </w:r>
    </w:p>
    <w:p w:rsidR="00D96775" w:rsidRPr="00D96775" w:rsidRDefault="00D96775" w:rsidP="00D96775">
      <w:pPr>
        <w:widowControl/>
        <w:tabs>
          <w:tab w:val="left" w:pos="142"/>
        </w:tabs>
        <w:autoSpaceDE/>
        <w:jc w:val="both"/>
        <w:rPr>
          <w:rFonts w:eastAsia="Calibri" w:cs="Microsoft Uighur"/>
          <w:sz w:val="24"/>
          <w:szCs w:val="24"/>
        </w:rPr>
      </w:pPr>
      <w:r w:rsidRPr="00D96775">
        <w:rPr>
          <w:rFonts w:eastAsia="Calibri" w:cs="Microsoft Uighur"/>
          <w:sz w:val="24"/>
          <w:szCs w:val="24"/>
        </w:rPr>
        <w:t>8. Всі посилання на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D96775" w:rsidRPr="00D96775" w:rsidRDefault="00D96775" w:rsidP="00D96775">
      <w:pPr>
        <w:widowControl/>
        <w:tabs>
          <w:tab w:val="left" w:pos="142"/>
        </w:tabs>
        <w:autoSpaceDE/>
        <w:jc w:val="both"/>
        <w:rPr>
          <w:iCs/>
          <w:sz w:val="24"/>
          <w:szCs w:val="24"/>
          <w:shd w:val="clear" w:color="auto" w:fill="FFFFFF"/>
          <w:lang w:eastAsia="ru-RU"/>
        </w:rPr>
      </w:pPr>
      <w:r w:rsidRPr="00D96775">
        <w:rPr>
          <w:iCs/>
          <w:sz w:val="24"/>
          <w:szCs w:val="24"/>
          <w:shd w:val="clear" w:color="auto" w:fill="FFFFFF"/>
          <w:lang w:eastAsia="ru-RU"/>
        </w:rPr>
        <w:t>9.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933CE0" w:rsidRDefault="00933CE0" w:rsidP="00D96775">
      <w:pPr>
        <w:pStyle w:val="1"/>
        <w:ind w:right="1691"/>
        <w:jc w:val="center"/>
        <w:rPr>
          <w:i/>
          <w:sz w:val="18"/>
        </w:rPr>
      </w:pPr>
    </w:p>
    <w:sectPr w:rsidR="00933CE0">
      <w:type w:val="continuous"/>
      <w:pgSz w:w="11910" w:h="16840"/>
      <w:pgMar w:top="760" w:right="720" w:bottom="280" w:left="12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Uighur">
    <w:altName w:val="Times New Roman"/>
    <w:panose1 w:val="02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75627"/>
    <w:multiLevelType w:val="hybridMultilevel"/>
    <w:tmpl w:val="A1F0108E"/>
    <w:lvl w:ilvl="0" w:tplc="77AEB55E">
      <w:start w:val="1"/>
      <w:numFmt w:val="decimal"/>
      <w:lvlText w:val="%1."/>
      <w:lvlJc w:val="left"/>
      <w:pPr>
        <w:ind w:left="216" w:hanging="240"/>
        <w:jc w:val="left"/>
      </w:pPr>
      <w:rPr>
        <w:rFonts w:ascii="Times New Roman" w:eastAsia="Times New Roman" w:hAnsi="Times New Roman" w:cs="Times New Roman" w:hint="default"/>
        <w:w w:val="100"/>
        <w:sz w:val="22"/>
        <w:szCs w:val="22"/>
        <w:lang w:val="uk-UA" w:eastAsia="en-US" w:bidi="ar-SA"/>
      </w:rPr>
    </w:lvl>
    <w:lvl w:ilvl="1" w:tplc="663215AE">
      <w:numFmt w:val="bullet"/>
      <w:lvlText w:val="-"/>
      <w:lvlJc w:val="left"/>
      <w:pPr>
        <w:ind w:left="937" w:hanging="361"/>
      </w:pPr>
      <w:rPr>
        <w:rFonts w:ascii="Times New Roman" w:eastAsia="Times New Roman" w:hAnsi="Times New Roman" w:cs="Times New Roman" w:hint="default"/>
        <w:w w:val="100"/>
        <w:sz w:val="22"/>
        <w:szCs w:val="22"/>
        <w:lang w:val="uk-UA" w:eastAsia="en-US" w:bidi="ar-SA"/>
      </w:rPr>
    </w:lvl>
    <w:lvl w:ilvl="2" w:tplc="2FB8F6C0">
      <w:numFmt w:val="bullet"/>
      <w:lvlText w:val="•"/>
      <w:lvlJc w:val="left"/>
      <w:pPr>
        <w:ind w:left="1944" w:hanging="361"/>
      </w:pPr>
      <w:rPr>
        <w:rFonts w:hint="default"/>
        <w:lang w:val="uk-UA" w:eastAsia="en-US" w:bidi="ar-SA"/>
      </w:rPr>
    </w:lvl>
    <w:lvl w:ilvl="3" w:tplc="D7D81A1A">
      <w:numFmt w:val="bullet"/>
      <w:lvlText w:val="•"/>
      <w:lvlJc w:val="left"/>
      <w:pPr>
        <w:ind w:left="2949" w:hanging="361"/>
      </w:pPr>
      <w:rPr>
        <w:rFonts w:hint="default"/>
        <w:lang w:val="uk-UA" w:eastAsia="en-US" w:bidi="ar-SA"/>
      </w:rPr>
    </w:lvl>
    <w:lvl w:ilvl="4" w:tplc="9E12C706">
      <w:numFmt w:val="bullet"/>
      <w:lvlText w:val="•"/>
      <w:lvlJc w:val="left"/>
      <w:pPr>
        <w:ind w:left="3954" w:hanging="361"/>
      </w:pPr>
      <w:rPr>
        <w:rFonts w:hint="default"/>
        <w:lang w:val="uk-UA" w:eastAsia="en-US" w:bidi="ar-SA"/>
      </w:rPr>
    </w:lvl>
    <w:lvl w:ilvl="5" w:tplc="AE36E5F0">
      <w:numFmt w:val="bullet"/>
      <w:lvlText w:val="•"/>
      <w:lvlJc w:val="left"/>
      <w:pPr>
        <w:ind w:left="4959" w:hanging="361"/>
      </w:pPr>
      <w:rPr>
        <w:rFonts w:hint="default"/>
        <w:lang w:val="uk-UA" w:eastAsia="en-US" w:bidi="ar-SA"/>
      </w:rPr>
    </w:lvl>
    <w:lvl w:ilvl="6" w:tplc="C53AC1BE">
      <w:numFmt w:val="bullet"/>
      <w:lvlText w:val="•"/>
      <w:lvlJc w:val="left"/>
      <w:pPr>
        <w:ind w:left="5964" w:hanging="361"/>
      </w:pPr>
      <w:rPr>
        <w:rFonts w:hint="default"/>
        <w:lang w:val="uk-UA" w:eastAsia="en-US" w:bidi="ar-SA"/>
      </w:rPr>
    </w:lvl>
    <w:lvl w:ilvl="7" w:tplc="2B8CE48C">
      <w:numFmt w:val="bullet"/>
      <w:lvlText w:val="•"/>
      <w:lvlJc w:val="left"/>
      <w:pPr>
        <w:ind w:left="6969" w:hanging="361"/>
      </w:pPr>
      <w:rPr>
        <w:rFonts w:hint="default"/>
        <w:lang w:val="uk-UA" w:eastAsia="en-US" w:bidi="ar-SA"/>
      </w:rPr>
    </w:lvl>
    <w:lvl w:ilvl="8" w:tplc="4F365C62">
      <w:numFmt w:val="bullet"/>
      <w:lvlText w:val="•"/>
      <w:lvlJc w:val="left"/>
      <w:pPr>
        <w:ind w:left="7974" w:hanging="361"/>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933CE0"/>
    <w:rsid w:val="000C0BFC"/>
    <w:rsid w:val="00177D6E"/>
    <w:rsid w:val="002824D7"/>
    <w:rsid w:val="00295D0F"/>
    <w:rsid w:val="002D3A96"/>
    <w:rsid w:val="00303C5C"/>
    <w:rsid w:val="003C1E95"/>
    <w:rsid w:val="00531B13"/>
    <w:rsid w:val="005846FC"/>
    <w:rsid w:val="006054E3"/>
    <w:rsid w:val="006905A9"/>
    <w:rsid w:val="00933CE0"/>
    <w:rsid w:val="009836A8"/>
    <w:rsid w:val="009E1E53"/>
    <w:rsid w:val="009E41FE"/>
    <w:rsid w:val="00A61A9E"/>
    <w:rsid w:val="00B71050"/>
    <w:rsid w:val="00BC78B6"/>
    <w:rsid w:val="00C67A1B"/>
    <w:rsid w:val="00D4050D"/>
    <w:rsid w:val="00D96775"/>
    <w:rsid w:val="00EA42C9"/>
    <w:rsid w:val="00F805E9"/>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26239"/>
  <w15:docId w15:val="{595A72E6-4A13-45DB-BF05-B61667A9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1776"/>
      <w:outlineLvl w:val="0"/>
    </w:pPr>
    <w:rPr>
      <w:b/>
      <w:bCs/>
      <w:sz w:val="24"/>
      <w:szCs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6"/>
      <w:jc w:val="both"/>
    </w:pPr>
  </w:style>
  <w:style w:type="paragraph" w:styleId="a4">
    <w:name w:val="List Paragraph"/>
    <w:basedOn w:val="a"/>
    <w:uiPriority w:val="1"/>
    <w:qFormat/>
    <w:pPr>
      <w:ind w:left="216"/>
      <w:jc w:val="both"/>
    </w:pPr>
  </w:style>
  <w:style w:type="paragraph" w:customStyle="1" w:styleId="TableParagraph">
    <w:name w:val="Table Paragraph"/>
    <w:basedOn w:val="a"/>
    <w:uiPriority w:val="1"/>
    <w:qFormat/>
    <w:pPr>
      <w:spacing w:line="249"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2090</Words>
  <Characters>1192</Characters>
  <Application>Microsoft Office Word</Application>
  <DocSecurity>0</DocSecurity>
  <Lines>9</Lines>
  <Paragraphs>6</Paragraphs>
  <ScaleCrop>false</ScaleCrop>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 3</cp:lastModifiedBy>
  <cp:revision>26</cp:revision>
  <dcterms:created xsi:type="dcterms:W3CDTF">2022-11-04T09:32:00Z</dcterms:created>
  <dcterms:modified xsi:type="dcterms:W3CDTF">2023-08-28T10:04:00Z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2022-10-24T00:00:00Z</vt:filetime>
  </property>
  <property fmtid="{D5CDD505-2E9C-101B-9397-08002B2CF9AE}" pid="3" name="Creator">
    <vt:lpwstr>Microsoft® Word 2016</vt:lpwstr>
  </property>
  <property fmtid="{D5CDD505-2E9C-101B-9397-08002B2CF9AE}" pid="4" name="LastSaved">
    <vt:filetime>2022-11-04T00:00:00Z</vt:filetime>
  </property>
</Properties>
</file>