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A" w:rsidRPr="00595ECA" w:rsidRDefault="00595ECA" w:rsidP="00595EC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595EC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Додаток № 2 </w:t>
      </w:r>
    </w:p>
    <w:p w:rsidR="00595ECA" w:rsidRPr="00595ECA" w:rsidRDefault="00595ECA" w:rsidP="00595EC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EC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До Протоколу № 2 від 20.10.2023</w:t>
      </w:r>
      <w:r w:rsidRPr="00595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5ECA" w:rsidRPr="00595ECA" w:rsidRDefault="00595ECA" w:rsidP="00595EC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595EC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ЩОДО ПРИЙНЯТТЯ РІШЕННЯ </w:t>
      </w:r>
    </w:p>
    <w:p w:rsidR="00595ECA" w:rsidRPr="00595ECA" w:rsidRDefault="00595ECA" w:rsidP="00595EC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595EC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ФАХІВЦЯ З ПУБЛІЧНИХ ЗАКУПІВЕЛЬ </w:t>
      </w:r>
    </w:p>
    <w:p w:rsidR="00595ECA" w:rsidRPr="00595ECA" w:rsidRDefault="00595ECA" w:rsidP="00595EC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595ECA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ar-SA"/>
        </w:rPr>
        <w:t>КНП ЛОР «ЛОШВД»</w:t>
      </w:r>
    </w:p>
    <w:p w:rsidR="00595ECA" w:rsidRPr="00595ECA" w:rsidRDefault="00595ECA" w:rsidP="00595EC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sz w:val="20"/>
          <w:szCs w:val="20"/>
          <w:shd w:val="clear" w:color="auto" w:fill="FFFFFF"/>
          <w:lang w:eastAsia="ar-SA"/>
        </w:rPr>
      </w:pPr>
    </w:p>
    <w:p w:rsidR="00595ECA" w:rsidRPr="00595ECA" w:rsidRDefault="00595ECA" w:rsidP="00595E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595EC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Перелік змін</w:t>
      </w:r>
    </w:p>
    <w:p w:rsidR="00595ECA" w:rsidRPr="00595ECA" w:rsidRDefault="00595ECA" w:rsidP="00595EC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595ECA">
        <w:rPr>
          <w:rFonts w:ascii="Times New Roman" w:eastAsia="Segoe UI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У Додатку № 3 до тендерної документації інформацію в таблиці під порядковим номером 4, а саме: </w:t>
      </w: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47"/>
        <w:gridCol w:w="1275"/>
        <w:gridCol w:w="851"/>
        <w:gridCol w:w="3585"/>
      </w:tblGrid>
      <w:tr w:rsidR="00595ECA" w:rsidRPr="00595ECA" w:rsidTr="000A4E0F">
        <w:trPr>
          <w:trHeight w:val="281"/>
        </w:trPr>
        <w:tc>
          <w:tcPr>
            <w:tcW w:w="534" w:type="dxa"/>
            <w:tcBorders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61" w:lineRule="exact"/>
              <w:ind w:left="360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61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Набір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реагентів</w:t>
            </w:r>
            <w:proofErr w:type="spellEnd"/>
          </w:p>
        </w:tc>
        <w:tc>
          <w:tcPr>
            <w:tcW w:w="1447" w:type="dxa"/>
            <w:tcBorders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61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49539</w:t>
            </w:r>
          </w:p>
        </w:tc>
        <w:tc>
          <w:tcPr>
            <w:tcW w:w="1275" w:type="dxa"/>
            <w:tcBorders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61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набір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61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61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Принцип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аналізу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базується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на</w:t>
            </w:r>
            <w:proofErr w:type="spellEnd"/>
          </w:p>
        </w:tc>
      </w:tr>
      <w:tr w:rsidR="00595ECA" w:rsidRPr="00595ECA" w:rsidTr="000A4E0F">
        <w:trPr>
          <w:trHeight w:val="271"/>
        </w:trPr>
        <w:tc>
          <w:tcPr>
            <w:tcW w:w="534" w:type="dxa"/>
            <w:vMerge w:val="restart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51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полімеразної</w:t>
            </w:r>
            <w:proofErr w:type="spellEnd"/>
          </w:p>
        </w:tc>
        <w:tc>
          <w:tcPr>
            <w:tcW w:w="1447" w:type="dxa"/>
            <w:vMerge w:val="restart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Вірус простого герпесу 1 і</w:t>
            </w:r>
          </w:p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2 (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HSV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1 і 2), нуклеїнова</w:t>
            </w:r>
          </w:p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proofErr w:type="gram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кислота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IVD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 (діагностика</w:t>
            </w:r>
            <w:proofErr w:type="gramEnd"/>
          </w:p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in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vitro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 ), набір, аналіз</w:t>
            </w:r>
          </w:p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нуклеїнових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кислот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(NAT)</w:t>
            </w:r>
          </w:p>
        </w:tc>
        <w:tc>
          <w:tcPr>
            <w:tcW w:w="1275" w:type="dxa"/>
            <w:vMerge w:val="restart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 w:val="restart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51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флуориметричний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метод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по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18"/>
                <w:szCs w:val="18"/>
                <w:lang w:eastAsia="zh-CN" w:bidi="hi-IN"/>
              </w:rPr>
              <w:t>двом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ланцюгової</w:t>
            </w:r>
            <w:proofErr w:type="spellEnd"/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каналам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: FAM/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та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контроль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реакції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10"/>
                <w:kern w:val="3"/>
                <w:sz w:val="18"/>
                <w:szCs w:val="18"/>
                <w:lang w:eastAsia="zh-CN" w:bidi="hi-IN"/>
              </w:rPr>
              <w:t>у</w:t>
            </w: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proofErr w:type="gram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б</w:t>
            </w:r>
            <w:proofErr w:type="gram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іоматеріалу по каналу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HEX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val="ru-RU" w:eastAsia="zh-CN" w:bidi="hi-IN"/>
              </w:rPr>
              <w:t>/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Yellow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val="ru-RU" w:eastAsia="zh-CN" w:bidi="hi-IN"/>
              </w:rPr>
              <w:t>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реальному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18"/>
                <w:szCs w:val="18"/>
                <w:lang w:eastAsia="zh-CN" w:bidi="hi-IN"/>
              </w:rPr>
              <w:t>часі</w:t>
            </w:r>
            <w:proofErr w:type="spellEnd"/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Формат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: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96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реакцій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Загальний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час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проведення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реакції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приблизно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120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хвилин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Аналітична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чутливість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1*10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10"/>
                <w:kern w:val="3"/>
                <w:position w:val="8"/>
                <w:sz w:val="18"/>
                <w:szCs w:val="18"/>
                <w:lang w:eastAsia="zh-CN" w:bidi="hi-IN"/>
              </w:rPr>
              <w:t>3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копій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/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мл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Діагностична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чутливість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не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менше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18"/>
                <w:szCs w:val="18"/>
                <w:lang w:eastAsia="zh-CN" w:bidi="hi-IN"/>
              </w:rPr>
              <w:t>98%.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Діагностична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специфічність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не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менше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18"/>
                <w:szCs w:val="18"/>
                <w:lang w:eastAsia="zh-CN" w:bidi="hi-IN"/>
              </w:rPr>
              <w:t>98%.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Відсутні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перехресні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реакції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при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тестуванні зразків ДНК людини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10"/>
                <w:kern w:val="3"/>
                <w:sz w:val="18"/>
                <w:szCs w:val="18"/>
                <w:lang w:val="ru-RU" w:eastAsia="zh-CN" w:bidi="hi-IN"/>
              </w:rPr>
              <w:t>і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панелі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зразків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ДНК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наступних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мікроорганізмів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: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Chlamydia trachomatis,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Chlamydia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pneumoniae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Gardnerella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vaginalys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Lactobacillus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crispatus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Enterococcus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faecium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Escherichia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coli,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Staphylococcus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aureus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Streptococcus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pyogenes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Candida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albicans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Mycoplasma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hominis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Mycoplasma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genitalium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Neisseria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gonorrhoeae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Neisseria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flava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Neisseria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subflava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Neisseria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sicca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Neisseria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mucosa,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Treponema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pallidum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Trichomonas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vaginalis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Toxoplasma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gondii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Ureaplasma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urealyticum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Ureaplasma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parvum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CMV, HPV (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типи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16,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18, 31, 33, 35, 39, 45, 51, 52, 56,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58,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18"/>
                <w:szCs w:val="18"/>
                <w:lang w:eastAsia="zh-CN" w:bidi="hi-IN"/>
              </w:rPr>
              <w:t>59).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Зразок для аналізу: слизові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val="ru-RU" w:eastAsia="zh-CN" w:bidi="hi-IN"/>
              </w:rPr>
              <w:t>оболонки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урогенітального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тракту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мазок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10"/>
                <w:kern w:val="3"/>
                <w:sz w:val="18"/>
                <w:szCs w:val="18"/>
                <w:lang w:eastAsia="zh-CN" w:bidi="hi-IN"/>
              </w:rPr>
              <w:t>з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ротоглотки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ліквор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виділення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з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ерозивно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виразкових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уражень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шкіри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та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слизових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оболонок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,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мононуклеарні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клітини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периферичного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кровообігу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Об’єм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досліджуваного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зразка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: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10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595ECA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18"/>
                <w:szCs w:val="18"/>
                <w:lang w:eastAsia="zh-CN" w:bidi="hi-IN"/>
              </w:rPr>
              <w:t>мкл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Буфер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готовий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до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використання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4"/>
                <w:kern w:val="3"/>
                <w:sz w:val="18"/>
                <w:szCs w:val="18"/>
                <w:lang w:eastAsia="zh-CN" w:bidi="hi-IN"/>
              </w:rPr>
              <w:t>(1.5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мл), прозора рідина від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val="ru-RU" w:eastAsia="zh-CN" w:bidi="hi-IN"/>
              </w:rPr>
              <w:t>безбарвного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5"/>
                <w:kern w:val="3"/>
                <w:sz w:val="18"/>
                <w:szCs w:val="18"/>
                <w:lang w:eastAsia="zh-CN" w:bidi="hi-IN"/>
              </w:rPr>
              <w:t>до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рожевого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кольору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Полімераза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готова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до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використання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(0.12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мл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),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прозора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безбарвна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рідина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ПКЗ –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позитивний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контрольний</w:t>
            </w:r>
            <w:proofErr w:type="spellEnd"/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зразок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готовий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до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використання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(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10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</w:tr>
      <w:tr w:rsidR="00595ECA" w:rsidRPr="00595ECA" w:rsidTr="000A4E0F">
        <w:trPr>
          <w:trHeight w:val="265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595ECA" w:rsidRPr="00595ECA" w:rsidRDefault="00595ECA" w:rsidP="00595ECA">
            <w:pPr>
              <w:suppressAutoHyphens/>
              <w:spacing w:line="24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мл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)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прозора</w:t>
            </w:r>
            <w:proofErr w:type="spellEnd"/>
          </w:p>
        </w:tc>
      </w:tr>
      <w:tr w:rsidR="00595ECA" w:rsidRPr="00595ECA" w:rsidTr="000A4E0F">
        <w:trPr>
          <w:trHeight w:val="480"/>
        </w:trPr>
        <w:tc>
          <w:tcPr>
            <w:tcW w:w="534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  <w:tcBorders>
              <w:top w:val="nil"/>
            </w:tcBorders>
          </w:tcPr>
          <w:p w:rsidR="00595ECA" w:rsidRPr="00595ECA" w:rsidRDefault="00595ECA" w:rsidP="00595ECA">
            <w:pPr>
              <w:suppressAutoHyphens/>
              <w:spacing w:line="266" w:lineRule="exac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>безбарвна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рідина</w:t>
            </w:r>
            <w:proofErr w:type="spellEnd"/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  <w:tr w:rsidR="00595ECA" w:rsidRPr="00595ECA" w:rsidTr="000A4E0F">
        <w:trPr>
          <w:trHeight w:val="1926"/>
        </w:trPr>
        <w:tc>
          <w:tcPr>
            <w:tcW w:w="534" w:type="dxa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842" w:type="dxa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447" w:type="dxa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275" w:type="dxa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</w:tcPr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5" w:type="dxa"/>
          </w:tcPr>
          <w:p w:rsidR="00595ECA" w:rsidRPr="00595ECA" w:rsidRDefault="00595ECA" w:rsidP="00595ECA">
            <w:pPr>
              <w:suppressAutoHyphens/>
              <w:ind w:left="142" w:right="19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НКЗ– негативний контрольний зразок,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готовий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до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використання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(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8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1 мл) прозора</w:t>
            </w:r>
          </w:p>
          <w:p w:rsidR="00595ECA" w:rsidRPr="00595ECA" w:rsidRDefault="00595ECA" w:rsidP="00595ECA">
            <w:pPr>
              <w:suppressAutoHyphens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безбарвна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val="ru-RU" w:eastAsia="zh-CN" w:bidi="hi-IN"/>
              </w:rPr>
              <w:t>рідина.</w:t>
            </w:r>
          </w:p>
          <w:p w:rsidR="00595ECA" w:rsidRPr="00595ECA" w:rsidRDefault="00595ECA" w:rsidP="00595ECA">
            <w:pPr>
              <w:suppressAutoHyphens/>
              <w:spacing w:before="9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</w:p>
          <w:p w:rsidR="00595ECA" w:rsidRPr="00595ECA" w:rsidRDefault="00595ECA" w:rsidP="00595ECA">
            <w:pPr>
              <w:suppressAutoHyphens/>
              <w:spacing w:line="270" w:lineRule="atLeast"/>
              <w:ind w:left="142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</w:pP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На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13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підтвердження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13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>вимог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13"/>
                <w:kern w:val="3"/>
                <w:sz w:val="18"/>
                <w:szCs w:val="18"/>
                <w:lang w:val="ru-RU" w:eastAsia="zh-CN" w:bidi="hi-IN"/>
              </w:rPr>
              <w:t xml:space="preserve"> </w:t>
            </w:r>
            <w:r w:rsidRPr="00595ECA">
              <w:rPr>
                <w:rFonts w:ascii="Times New Roman" w:eastAsia="Times New Roman" w:hAnsi="Times New Roman" w:cs="Tahoma"/>
                <w:color w:val="000000"/>
                <w:kern w:val="3"/>
                <w:sz w:val="18"/>
                <w:szCs w:val="18"/>
                <w:lang w:val="ru-RU" w:eastAsia="zh-CN" w:bidi="hi-IN"/>
              </w:rPr>
              <w:t xml:space="preserve">надати </w:t>
            </w:r>
            <w:r w:rsidRPr="00595ECA">
              <w:rPr>
                <w:rFonts w:ascii="Times New Roman" w:eastAsia="Times New Roman" w:hAnsi="Times New Roman" w:cs="Tahoma"/>
                <w:color w:val="000000"/>
                <w:spacing w:val="-2"/>
                <w:kern w:val="3"/>
                <w:sz w:val="18"/>
                <w:szCs w:val="18"/>
                <w:lang w:val="ru-RU" w:eastAsia="zh-CN" w:bidi="hi-IN"/>
              </w:rPr>
              <w:t>інструкцію.</w:t>
            </w:r>
          </w:p>
        </w:tc>
      </w:tr>
    </w:tbl>
    <w:p w:rsidR="00595ECA" w:rsidRPr="00595ECA" w:rsidRDefault="00595ECA" w:rsidP="00595ECA">
      <w:pPr>
        <w:widowControl w:val="0"/>
        <w:suppressAutoHyphens/>
        <w:autoSpaceDN w:val="0"/>
        <w:spacing w:line="240" w:lineRule="auto"/>
        <w:ind w:left="720"/>
        <w:jc w:val="both"/>
        <w:textAlignment w:val="baseline"/>
        <w:rPr>
          <w:rFonts w:ascii="Times New Roman" w:eastAsia="Segoe UI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595ECA">
        <w:rPr>
          <w:rFonts w:ascii="Times New Roman" w:eastAsia="Segoe UI" w:hAnsi="Times New Roman" w:cs="Times New Roman"/>
          <w:b/>
          <w:color w:val="000000"/>
          <w:kern w:val="3"/>
          <w:sz w:val="32"/>
          <w:szCs w:val="32"/>
          <w:lang w:eastAsia="zh-CN" w:bidi="hi-IN"/>
        </w:rPr>
        <w:t xml:space="preserve">замінити на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61"/>
        <w:gridCol w:w="2097"/>
        <w:gridCol w:w="1559"/>
        <w:gridCol w:w="1040"/>
        <w:gridCol w:w="1099"/>
        <w:gridCol w:w="3073"/>
      </w:tblGrid>
      <w:tr w:rsidR="00595ECA" w:rsidRPr="00595ECA" w:rsidTr="000A4E0F">
        <w:tc>
          <w:tcPr>
            <w:tcW w:w="561" w:type="dxa"/>
          </w:tcPr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097" w:type="dxa"/>
          </w:tcPr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Набі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реагентів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для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виявлення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ДНК HERPES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SIMPLEX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VIRUS 1 та 2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типу методом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полімеразної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ланцюгової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реакції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у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реальному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часі</w:t>
            </w:r>
            <w:proofErr w:type="spellEnd"/>
          </w:p>
        </w:tc>
        <w:tc>
          <w:tcPr>
            <w:tcW w:w="1559" w:type="dxa"/>
          </w:tcPr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49539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ірус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простого герпесу 1 і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2 (HSV1 і 2),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нуклеїнова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кислота IVD (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діагностика</w:t>
            </w:r>
            <w:proofErr w:type="spellEnd"/>
            <w:proofErr w:type="gram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in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vitro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),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набі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аналіз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нуклеїнових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кислот (NAT)</w:t>
            </w:r>
          </w:p>
        </w:tc>
        <w:tc>
          <w:tcPr>
            <w:tcW w:w="1040" w:type="dxa"/>
          </w:tcPr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набі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</w:t>
            </w:r>
            <w:proofErr w:type="spellEnd"/>
            <w:proofErr w:type="gramEnd"/>
          </w:p>
        </w:tc>
        <w:tc>
          <w:tcPr>
            <w:tcW w:w="1099" w:type="dxa"/>
          </w:tcPr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073" w:type="dxa"/>
          </w:tcPr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Принцип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аналізу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базується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на</w:t>
            </w:r>
            <w:proofErr w:type="gram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проведені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моноплексної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ПЛР у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реальному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часі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з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г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ібридизаційно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-флуоресцентною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детекцією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Реєстрація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реакції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–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ф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луориметричний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метод по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двом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ab/>
              <w:t xml:space="preserve">каналам: FAM/ та контроль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біоматеріалу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по каналу HEX/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Yellow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Формат: на 96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реакцій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Загальний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час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проведення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реакції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приблизно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120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хвилин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Аналітична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чутливість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1*10 3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копій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/мл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Діагностична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чутливість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не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менше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98%.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Діагностична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специфічність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не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менше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98%. 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Відсутні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перехресні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реакції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при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тестуванні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зразків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ДНК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людини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і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панелі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зразків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ДНК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наступних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мікроорганізмі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</w:t>
            </w:r>
            <w:proofErr w:type="spellEnd"/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: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Chlamydia trachomatis, Chlamydia pneumoniae,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Gardnerella vaginalys, Lactobacillus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crispatus, Enterococcus faecium,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Escherichia coli,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Staphylococcus aureus, Streptococcus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pyogenes, Candida albicans,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Mycoplasma hominis,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Mycoplasma genitalium, Neisseria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gonorrhoeae, Neisseria flava, Neisseria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subflava, Neisseria sicca, Neisseria mucosa,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Treponema pallidum, Trichomonas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vaginalis, Toxoplasma gondii, Ureaplasma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</w:pP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urealyticum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>, Ureaplasma parvum,</w:t>
            </w: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ab/>
              <w:t>CMV, HPV (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типи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val="en-US" w:eastAsia="zh-CN" w:bidi="hi-IN"/>
              </w:rPr>
              <w:t xml:space="preserve"> 16,18, 31, 33, 35, 39, 45, 51, 52, 56, 58,59).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Зразок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для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аналізу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: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слизові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оболонки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урогенітального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тракту, мазок з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ротоглотки, </w:t>
            </w:r>
            <w:proofErr w:type="spellStart"/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л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іквор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виділення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з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ерозивно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виразкових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уражень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шкіри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та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слизових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оболонок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мононуклеарні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клітини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периферичного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кровообігу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Об’єм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досл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іджуваного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зразка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: 10</w:t>
            </w: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ab/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мкл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Буфер,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готовий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до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використання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(1.5мл),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прозора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ідина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від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lastRenderedPageBreak/>
              <w:t>безбарвного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До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рожевого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кольору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Полімераза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готова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до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використання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(0.12 мл),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прозора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безбарвна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ідина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ПКЗ –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позитивний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контрольний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зразок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готовий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до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використання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(1мл)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прозора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безбарвна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ідина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НК</w:t>
            </w:r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З–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негативний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контрольний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зразок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готовий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до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використання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( 1 мл)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прозора</w:t>
            </w:r>
            <w:proofErr w:type="spellEnd"/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безбарвна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р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ідина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На </w:t>
            </w:r>
            <w:proofErr w:type="spellStart"/>
            <w:proofErr w:type="gram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п</w:t>
            </w:r>
            <w:proofErr w:type="gram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ідтвердження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вимог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надати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інструкцію</w:t>
            </w:r>
            <w:proofErr w:type="spellEnd"/>
            <w:r w:rsidRPr="00595ECA"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  <w:t>.</w:t>
            </w:r>
          </w:p>
          <w:p w:rsidR="00595ECA" w:rsidRPr="00595ECA" w:rsidRDefault="00595ECA" w:rsidP="00595ECA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595ECA" w:rsidRPr="00595ECA" w:rsidRDefault="00595ECA" w:rsidP="00595E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ar-SA"/>
        </w:rPr>
      </w:pPr>
    </w:p>
    <w:p w:rsidR="00C5657F" w:rsidRPr="00595ECA" w:rsidRDefault="00C5657F">
      <w:pPr>
        <w:rPr>
          <w:lang w:val="ru-RU"/>
        </w:rPr>
      </w:pPr>
    </w:p>
    <w:sectPr w:rsidR="00C5657F" w:rsidRPr="00595ECA" w:rsidSect="004D3A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53A"/>
    <w:multiLevelType w:val="hybridMultilevel"/>
    <w:tmpl w:val="583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E4"/>
    <w:rsid w:val="00595ECA"/>
    <w:rsid w:val="00C5657F"/>
    <w:rsid w:val="00F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EC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5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ECA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5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2776</Words>
  <Characters>1583</Characters>
  <Application>Microsoft Office Word</Application>
  <DocSecurity>0</DocSecurity>
  <Lines>13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2023-10-20T11:21:00Z</dcterms:created>
  <dcterms:modified xsi:type="dcterms:W3CDTF">2023-10-20T11:21:00Z</dcterms:modified>
</cp:coreProperties>
</file>