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C167" w14:textId="77777777" w:rsidR="00F073B1" w:rsidRDefault="00F073B1" w:rsidP="00F073B1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Додаток 2</w:t>
      </w:r>
    </w:p>
    <w:p w14:paraId="5C003447" w14:textId="77777777" w:rsidR="00F073B1" w:rsidRDefault="00F073B1" w:rsidP="00F073B1">
      <w:pPr>
        <w:spacing w:after="0" w:line="240" w:lineRule="auto"/>
        <w:ind w:left="5670"/>
        <w:jc w:val="right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до тендерної документації </w:t>
      </w:r>
    </w:p>
    <w:p w14:paraId="0EE279E9" w14:textId="77777777" w:rsidR="00F073B1" w:rsidRDefault="00F073B1" w:rsidP="00F073B1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216BABA0" w14:textId="77777777" w:rsidR="00F073B1" w:rsidRDefault="00F073B1" w:rsidP="00F073B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14:paraId="3AA3D3A5" w14:textId="77777777" w:rsidR="00F073B1" w:rsidRDefault="00F073B1" w:rsidP="00F073B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FB3576" w14:textId="77777777" w:rsidR="00F073B1" w:rsidRDefault="00F073B1" w:rsidP="00F073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Строк постачання</w:t>
      </w:r>
      <w:r>
        <w:rPr>
          <w:rFonts w:ascii="Times New Roman" w:hAnsi="Times New Roman"/>
          <w:sz w:val="24"/>
          <w:szCs w:val="24"/>
        </w:rPr>
        <w:t>: січень-грудень 2024 року</w:t>
      </w:r>
    </w:p>
    <w:p w14:paraId="753EC582" w14:textId="77777777" w:rsidR="00F073B1" w:rsidRDefault="00F073B1" w:rsidP="00F073B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2BFDAC" w14:textId="77777777" w:rsidR="00F073B1" w:rsidRDefault="00F073B1" w:rsidP="00F073B1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2552" w:hanging="2552"/>
        <w:jc w:val="center"/>
        <w:rPr>
          <w:rFonts w:ascii="Times New Roman" w:eastAsia="SimSun" w:hAnsi="Times New Roman"/>
          <w:b/>
          <w:bCs/>
          <w:kern w:val="2"/>
          <w:lang w:eastAsia="ar-SA"/>
        </w:rPr>
      </w:pPr>
      <w:r>
        <w:rPr>
          <w:rFonts w:ascii="Times New Roman" w:eastAsia="SimSun" w:hAnsi="Times New Roman"/>
          <w:b/>
          <w:bCs/>
          <w:kern w:val="2"/>
          <w:lang w:eastAsia="ar-SA"/>
        </w:rPr>
        <w:t>ТЕХНІЧНІ, ЯКІСНІ, КІЛЬКІСНІ ТА ІНШІ ВИМОГИ</w:t>
      </w:r>
    </w:p>
    <w:p w14:paraId="26AF6343" w14:textId="77777777" w:rsidR="00F073B1" w:rsidRDefault="00F073B1" w:rsidP="00F073B1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2552" w:hanging="2552"/>
        <w:jc w:val="center"/>
        <w:rPr>
          <w:rFonts w:ascii="Times New Roman" w:eastAsia="SimSun" w:hAnsi="Times New Roman"/>
          <w:b/>
          <w:bCs/>
          <w:kern w:val="2"/>
          <w:lang w:eastAsia="ar-SA"/>
        </w:rPr>
      </w:pPr>
      <w:r>
        <w:rPr>
          <w:rFonts w:ascii="Times New Roman" w:eastAsia="SimSun" w:hAnsi="Times New Roman"/>
          <w:b/>
          <w:bCs/>
          <w:kern w:val="2"/>
          <w:lang w:eastAsia="ar-SA"/>
        </w:rPr>
        <w:t>ДО ПРЕДМЕТУ ЗАКУПІВЛІ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2093"/>
        <w:gridCol w:w="3106"/>
        <w:gridCol w:w="1522"/>
        <w:gridCol w:w="1784"/>
      </w:tblGrid>
      <w:tr w:rsidR="00F073B1" w14:paraId="28D09D07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6A1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C03B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57CC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ГОСТ, ТУ, 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081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802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</w:tr>
      <w:tr w:rsidR="00F073B1" w14:paraId="311A5E9F" w14:textId="77777777" w:rsidTr="00F073B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E963" w14:textId="77777777" w:rsidR="00F073B1" w:rsidRDefault="00F073B1">
            <w:pPr>
              <w:pStyle w:val="a5"/>
              <w:spacing w:line="240" w:lineRule="auto"/>
              <w:outlineLvl w:val="0"/>
              <w:rPr>
                <w:b/>
              </w:rPr>
            </w:pPr>
            <w:r>
              <w:rPr>
                <w:b/>
                <w:snapToGrid w:val="0"/>
                <w:lang w:val="uk-UA"/>
              </w:rPr>
              <w:t xml:space="preserve">Овочі, фрукти та </w:t>
            </w:r>
            <w:proofErr w:type="spellStart"/>
            <w:r>
              <w:rPr>
                <w:b/>
                <w:snapToGrid w:val="0"/>
                <w:lang w:val="uk-UA"/>
              </w:rPr>
              <w:t>гор</w:t>
            </w:r>
            <w:r>
              <w:rPr>
                <w:b/>
                <w:snapToGrid w:val="0"/>
              </w:rPr>
              <w:t>іхи</w:t>
            </w:r>
            <w:proofErr w:type="spellEnd"/>
          </w:p>
        </w:tc>
      </w:tr>
      <w:tr w:rsidR="00F073B1" w14:paraId="0EF1049A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C39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684C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proofErr w:type="spellStart"/>
            <w:r>
              <w:t>Яблука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DE30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</w:rPr>
              <w:t>ДСТУ</w:t>
            </w:r>
            <w:r>
              <w:rPr>
                <w:b/>
                <w:lang w:val="uk-UA"/>
              </w:rPr>
              <w:t>8133:2015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238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FC76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F073B1" w14:paraId="1013269B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313B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817E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proofErr w:type="spellStart"/>
            <w:r>
              <w:t>Банани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AF8A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2936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BB8E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F073B1" w14:paraId="2656ED47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D110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3AF6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Кабачки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DBA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</w:rPr>
              <w:t>ДСТУ</w:t>
            </w:r>
            <w:r>
              <w:rPr>
                <w:b/>
                <w:lang w:val="uk-UA"/>
              </w:rPr>
              <w:t>318-91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E83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4989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F073B1" w14:paraId="7589D2A2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94D5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99A2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Перець солодкий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7ED9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</w:rPr>
              <w:t>ДСТУ</w:t>
            </w:r>
            <w:r>
              <w:rPr>
                <w:b/>
                <w:lang w:val="uk-UA"/>
              </w:rPr>
              <w:t>2659-94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F7A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19E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F073B1" w14:paraId="396E7621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165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D2F0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proofErr w:type="spellStart"/>
            <w:r>
              <w:t>Лимони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375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5A48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297C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F073B1" w14:paraId="1CBBB014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A209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0923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 xml:space="preserve">Капуста </w:t>
            </w:r>
            <w:proofErr w:type="spellStart"/>
            <w:r>
              <w:t>білокачанна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63B2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</w:t>
            </w:r>
            <w:r>
              <w:rPr>
                <w:b/>
                <w:bCs/>
                <w:shd w:val="clear" w:color="auto" w:fill="FFFFFF"/>
              </w:rPr>
              <w:t>7037:2009</w:t>
            </w:r>
            <w:r>
              <w:rPr>
                <w:b/>
              </w:rPr>
              <w:t>, ГОСТ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97A6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C266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F073B1" w14:paraId="45BED50E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ADD4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918E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Цибуля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D1DF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 3234-95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3752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206C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</w:tr>
      <w:tr w:rsidR="00F073B1" w14:paraId="29111BA8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63CF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E15A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proofErr w:type="spellStart"/>
            <w:r>
              <w:t>Часник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1BC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ДСТУ </w:t>
            </w:r>
            <w:r>
              <w:rPr>
                <w:b/>
                <w:bCs/>
                <w:shd w:val="clear" w:color="auto" w:fill="FFFFFF"/>
              </w:rPr>
              <w:t>3233-95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7236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86A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F073B1" w14:paraId="24DDD306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B02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070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proofErr w:type="spellStart"/>
            <w:r>
              <w:t>Морква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21D2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 7035:2009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338F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A640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</w:tr>
      <w:tr w:rsidR="00F073B1" w14:paraId="37A64D8F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44B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77B9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Буряк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AEE0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 7033:2009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A9D4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1DC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F073B1" w14:paraId="4207F13E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40DE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36EC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Слива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F75E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B6D4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A926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F073B1" w14:paraId="6C7EB098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BA94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9E8D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proofErr w:type="spellStart"/>
            <w:r>
              <w:t>Помідор</w:t>
            </w:r>
            <w:proofErr w:type="spellEnd"/>
            <w:r>
              <w:t xml:space="preserve"> </w:t>
            </w:r>
            <w:proofErr w:type="spellStart"/>
            <w:r>
              <w:t>свіжий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587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</w:rPr>
              <w:t>ДСТУ</w:t>
            </w:r>
            <w:r>
              <w:rPr>
                <w:b/>
                <w:lang w:val="uk-UA"/>
              </w:rPr>
              <w:t>3246-95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E35B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0104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F073B1" w14:paraId="6FC0A59A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59F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7F16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proofErr w:type="spellStart"/>
            <w:r>
              <w:t>Огірок</w:t>
            </w:r>
            <w:proofErr w:type="spellEnd"/>
            <w:r>
              <w:t xml:space="preserve"> </w:t>
            </w:r>
            <w:proofErr w:type="spellStart"/>
            <w:r>
              <w:t>свіжий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3F2A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</w:rPr>
              <w:t>ДСТУ</w:t>
            </w:r>
            <w:r>
              <w:rPr>
                <w:b/>
                <w:lang w:val="uk-UA"/>
              </w:rPr>
              <w:t>3247-95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5BB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A13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F073B1" w14:paraId="38D56DA1" w14:textId="77777777" w:rsidTr="00F073B1">
        <w:trPr>
          <w:trHeight w:val="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F11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F736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Груша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AAE2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78E4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A609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F073B1" w14:paraId="059EF5EB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827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0C48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Баклажани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2C8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</w:rPr>
              <w:t>ДСТУ</w:t>
            </w:r>
            <w:r>
              <w:rPr>
                <w:b/>
                <w:lang w:val="uk-UA"/>
              </w:rPr>
              <w:t>2660-94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1E91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6204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F073B1" w14:paraId="1DD51488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F045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4DE0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Цибуля зелена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56CE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ДСТУ </w:t>
            </w:r>
            <w:r>
              <w:rPr>
                <w:b/>
                <w:bCs/>
                <w:shd w:val="clear" w:color="auto" w:fill="FFFFFF"/>
              </w:rPr>
              <w:t>6011:2008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DACC" w14:textId="77777777" w:rsidR="00F073B1" w:rsidRDefault="00F073B1">
            <w:pPr>
              <w:pStyle w:val="a5"/>
              <w:spacing w:line="240" w:lineRule="auto"/>
              <w:jc w:val="center"/>
              <w:outlineLvl w:val="0"/>
            </w:pPr>
            <w: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CCA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F073B1" w14:paraId="377B52B0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94B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2B74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Капуста цвітна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C65F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246B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0B18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F073B1" w14:paraId="410B0F93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01E8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DE3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Гарбуз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17DA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3190-95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F16B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CF0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F073B1" w14:paraId="31E1832F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52D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02A8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Капуста пекінська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9BA2" w14:textId="77777777" w:rsidR="00F073B1" w:rsidRDefault="00F073B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5CF5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0B4D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F073B1" w14:paraId="3C993444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F7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42D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Капуста </w:t>
            </w:r>
            <w:proofErr w:type="spellStart"/>
            <w:r>
              <w:rPr>
                <w:lang w:val="uk-UA"/>
              </w:rPr>
              <w:t>брокколі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6B27" w14:textId="77777777" w:rsidR="00F073B1" w:rsidRDefault="00F073B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6A1E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EE85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F073B1" w14:paraId="4D5F85EA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E746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48B6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Мандарини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579E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18A5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6064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F073B1" w14:paraId="46553ED8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3494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F20D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Персик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9FDB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8B2D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DF23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F073B1" w14:paraId="1C79A1DD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CB58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D7DF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4E1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2E6E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865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color w:val="FF0000"/>
                <w:lang w:val="uk-UA"/>
              </w:rPr>
            </w:pPr>
          </w:p>
        </w:tc>
      </w:tr>
      <w:tr w:rsidR="00F073B1" w14:paraId="0C49F534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68D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B382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Черешня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CED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2F78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117E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073B1" w14:paraId="27396987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8AFC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96C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Полуниця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0BC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B7DD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82A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073B1" w14:paraId="3E8A54C3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3070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351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Абрикоси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B18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7378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7DDC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073B1" w14:paraId="5780AAE2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8FA2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F0B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Виноград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6FC5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A9F0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401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F073B1" w14:paraId="637E52F8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90B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BCE8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Вишня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701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E2C4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474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073B1" w14:paraId="17016D30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EEC1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22D9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Кріп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CA4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08A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DA7B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F073B1" w14:paraId="79B543D6" w14:textId="77777777" w:rsidTr="00F073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F5F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0D8C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Редька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C1F" w14:textId="77777777" w:rsidR="00F073B1" w:rsidRDefault="00F073B1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806B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45B7" w14:textId="77777777" w:rsidR="00F073B1" w:rsidRDefault="00F073B1">
            <w:pPr>
              <w:pStyle w:val="a5"/>
              <w:spacing w:line="240" w:lineRule="auto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1BA60B91" w14:textId="77777777" w:rsidR="00F073B1" w:rsidRDefault="00F073B1" w:rsidP="00F073B1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2552" w:hanging="2552"/>
        <w:jc w:val="center"/>
        <w:rPr>
          <w:rFonts w:ascii="Times New Roman" w:eastAsia="SimSun" w:hAnsi="Times New Roman"/>
          <w:b/>
          <w:kern w:val="2"/>
          <w:lang w:eastAsia="hi-IN" w:bidi="hi-IN"/>
        </w:rPr>
      </w:pPr>
    </w:p>
    <w:p w14:paraId="6DB5D02F" w14:textId="77777777" w:rsidR="00F073B1" w:rsidRDefault="00F073B1" w:rsidP="00F073B1">
      <w:pPr>
        <w:tabs>
          <w:tab w:val="left" w:pos="570"/>
        </w:tabs>
        <w:suppressAutoHyphens/>
        <w:spacing w:after="0" w:line="240" w:lineRule="auto"/>
        <w:rPr>
          <w:rFonts w:ascii="Times New Roman" w:hAnsi="Times New Roman"/>
          <w:b/>
          <w:sz w:val="21"/>
          <w:szCs w:val="21"/>
          <w:lang w:eastAsia="ar-SA"/>
        </w:rPr>
      </w:pPr>
    </w:p>
    <w:p w14:paraId="730095CE" w14:textId="77777777" w:rsidR="00F073B1" w:rsidRDefault="00F073B1" w:rsidP="00F073B1">
      <w:pPr>
        <w:widowControl w:val="0"/>
        <w:suppressAutoHyphens/>
        <w:spacing w:before="113" w:after="0" w:line="240" w:lineRule="auto"/>
        <w:ind w:left="284"/>
        <w:jc w:val="both"/>
        <w:rPr>
          <w:rFonts w:ascii="Times New Roman" w:eastAsia="SimSun" w:hAnsi="Times New Roman"/>
          <w:bCs/>
          <w:i/>
          <w:kern w:val="2"/>
          <w:lang w:eastAsia="hi-IN" w:bidi="hi-IN"/>
        </w:rPr>
      </w:pPr>
      <w:r>
        <w:rPr>
          <w:rFonts w:ascii="Times New Roman" w:eastAsia="SimSun" w:hAnsi="Times New Roman"/>
          <w:bCs/>
          <w:i/>
          <w:kern w:val="2"/>
          <w:lang w:eastAsia="hi-IN" w:bidi="hi-IN"/>
        </w:rPr>
        <w:t>Харчові продукти, що плануються до постачання, повинні відповідати вимогам діючого законодавства, нормативно-правових актів і нормативних документів до показників якості та безпеки харчових продуктів, пакування, маркування, транспортування, приймання та зберігання.</w:t>
      </w:r>
    </w:p>
    <w:p w14:paraId="787FEE0D" w14:textId="77777777" w:rsidR="00F073B1" w:rsidRDefault="00F073B1" w:rsidP="00F073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shd w:val="clear" w:color="auto" w:fill="FFFFFF"/>
          <w:lang w:eastAsia="hi-IN" w:bidi="hi-IN"/>
        </w:rPr>
      </w:pPr>
    </w:p>
    <w:p w14:paraId="5EDC706B" w14:textId="77777777" w:rsidR="00F073B1" w:rsidRDefault="00F073B1" w:rsidP="00F073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shd w:val="clear" w:color="auto" w:fill="FFFFFF"/>
          <w:lang w:eastAsia="hi-IN" w:bidi="hi-IN"/>
        </w:rPr>
      </w:pPr>
    </w:p>
    <w:p w14:paraId="49D190E9" w14:textId="77777777" w:rsidR="00F073B1" w:rsidRDefault="00F073B1" w:rsidP="00F073B1">
      <w:pPr>
        <w:spacing w:after="0" w:line="240" w:lineRule="auto"/>
        <w:ind w:left="78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Постачання товару здійснюється відповідно до Закону України «Про основні принципи та вимоги до безпечності та якості харчових продуктів».</w:t>
      </w:r>
    </w:p>
    <w:p w14:paraId="07B124E6" w14:textId="77777777" w:rsidR="00F073B1" w:rsidRDefault="00F073B1" w:rsidP="00F073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zh-CN"/>
        </w:rPr>
        <w:t>Додаткові вимоги:</w:t>
      </w:r>
    </w:p>
    <w:p w14:paraId="31E12E66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Якісні та кількісні параметри предмету закупівлі, порядок їх постачання повинні відповідати вимогам законодавства України, нормативно-правовим актам Кабінету Міністрів України.</w:t>
      </w:r>
    </w:p>
    <w:p w14:paraId="26BDC44A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ДСТУ, ТУ.</w:t>
      </w:r>
    </w:p>
    <w:p w14:paraId="59201E6D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Постачальник гарантує якість товару, згідно санітарно-технічних вимог, яка повинна відповідати найвищому рівню технологій і стандартів, існуючих в країні виробника на аналогічний товар та підтверджує її відповідними документами (якісне посвідчення, декларація виробника, висновки, тощо). </w:t>
      </w:r>
    </w:p>
    <w:p w14:paraId="403C29BE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Доставка та відвантаження товару здійснюється транспортом та за рахунок постачальника протягом дії договору. </w:t>
      </w:r>
    </w:p>
    <w:p w14:paraId="0BEF2A2F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bidi="uk-UA"/>
        </w:rPr>
      </w:pPr>
      <w:r>
        <w:rPr>
          <w:rFonts w:ascii="Times New Roman" w:hAnsi="Times New Roman"/>
          <w:color w:val="000000"/>
          <w:sz w:val="24"/>
          <w:szCs w:val="24"/>
          <w:lang w:bidi="uk-UA"/>
        </w:rPr>
        <w:t xml:space="preserve">Постачальник здійснює поставку продукції спеціалізованим автомобільним транспортом. Транспортні засоби, що будуть використовуватись для поставки харчових продуктів повинні бути чистими, утримуватись у належному стані, щоб забезпечити захист харчових продуктів від забруднення. </w:t>
      </w:r>
    </w:p>
    <w:p w14:paraId="71320DBC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Водій та експедитор, які супроводжують продукти в дорозі і виконують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навантажувально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-розвантажувальні роботи повинні мати при собі особисту медичну книжку з результатами проходження обов'язкових медичних оглядів та забезпечені спеціальним одягом </w:t>
      </w:r>
      <w:r>
        <w:rPr>
          <w:rFonts w:ascii="Times New Roman" w:hAnsi="Times New Roman"/>
          <w:sz w:val="24"/>
          <w:szCs w:val="24"/>
        </w:rPr>
        <w:t>(халатом, рукавицями).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45DC23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1B1AE17D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Кожна партія харчових продуктів повинна супроводжуватись документами, що підтверджують безпечність та якість харчових продуктів, яка додається до кожної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видаткової накладної. Гарантія якості має діяти протягом строку, встановленого виробником товару та вказаної на упаковці товару. </w:t>
      </w:r>
    </w:p>
    <w:p w14:paraId="714949C8" w14:textId="77777777" w:rsidR="00F073B1" w:rsidRDefault="00F073B1" w:rsidP="00F073B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Відповідальність за виконання вимог екологічної безпеки та вимог із забезпечення вимог техніки безпеки при постачанні товару несе Учасник.</w:t>
      </w:r>
    </w:p>
    <w:p w14:paraId="23A0618A" w14:textId="77777777" w:rsidR="00F073B1" w:rsidRDefault="00F073B1" w:rsidP="00F073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CAA38D" w14:textId="77777777" w:rsidR="00F073B1" w:rsidRDefault="00F073B1" w:rsidP="00F073B1">
      <w:pPr>
        <w:spacing w:after="0"/>
        <w:ind w:firstLine="567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У складі пропозиції учасник повинен надати:</w:t>
      </w:r>
    </w:p>
    <w:p w14:paraId="2AF14FCF" w14:textId="77777777" w:rsidR="00F073B1" w:rsidRPr="00C67D36" w:rsidRDefault="00F073B1" w:rsidP="00F073B1">
      <w:pPr>
        <w:pStyle w:val="a4"/>
        <w:numPr>
          <w:ilvl w:val="3"/>
          <w:numId w:val="2"/>
        </w:numPr>
        <w:spacing w:after="0" w:line="240" w:lineRule="auto"/>
        <w:ind w:left="-567" w:firstLine="567"/>
        <w:jc w:val="both"/>
        <w:rPr>
          <w:b/>
          <w:bCs/>
          <w:lang w:val="uk-UA"/>
        </w:rPr>
      </w:pPr>
      <w:r w:rsidRPr="00C67D36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C67D36">
        <w:rPr>
          <w:bCs/>
          <w:color w:val="000000"/>
          <w:lang w:val="uk-UA"/>
        </w:rPr>
        <w:t>У складі тендерної пропозиції учасник надає довідку в довільній формі, в якій зазначає країну походження Товару.</w:t>
      </w:r>
    </w:p>
    <w:p w14:paraId="068F8E25" w14:textId="77777777" w:rsidR="00F073B1" w:rsidRDefault="00F073B1" w:rsidP="00F073B1">
      <w:pPr>
        <w:numPr>
          <w:ilvl w:val="3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разі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якщо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виробником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складі тендерної пропозиції надається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(и)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укладений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(і)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Виробником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поставку предмету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дійсний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(і)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року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C4CE207" w14:textId="77777777" w:rsidR="00F073B1" w:rsidRDefault="00F073B1" w:rsidP="00F073B1">
      <w:pPr>
        <w:numPr>
          <w:ilvl w:val="3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складі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тендерн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учасник також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над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наступні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:</w:t>
      </w:r>
    </w:p>
    <w:p w14:paraId="3C881669" w14:textId="77777777" w:rsidR="00F073B1" w:rsidRDefault="00F073B1" w:rsidP="00F073B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3.1.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-копії оригіналів документів, що підтверджують впровадження, застосування та постійну дію на підприємстві Учасника та Виробника (якщо учасник не є виробником) процедур, заснованих на принципах системи аналізу небезпечних факторів та контролю у критичних точках, стосовно предмета закупівлі (сертифікат на систему управління безпечністю харчових продуктів, який відповідає вимогам ДСТУ 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22000, чинний на дату подання тендерних пропозицій);</w:t>
      </w:r>
    </w:p>
    <w:p w14:paraId="4BD09B40" w14:textId="77777777" w:rsidR="00F073B1" w:rsidRDefault="00F073B1" w:rsidP="00F073B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3.2.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скан-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копю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оригіналу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складений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 результатами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планового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позапланового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 заходу державного контролю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інспектування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додержання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операторами ринку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вимог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харчові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продукти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 корми,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благополуччя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тварин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НАКАЗУ МІНІСТЕРСТВА АГРАРНОЇ ПОЛІТИКИ № 447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08.08.19. Акт без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виявлених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порушень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датований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давнини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відносно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кінцевої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1CE0CFAD" w14:textId="77777777" w:rsidR="00F073B1" w:rsidRDefault="00F073B1" w:rsidP="00F073B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скан-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копію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оригіналу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Держпродспожив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складений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заходу державного контролю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формі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аудиту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діючих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процедур,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заснованих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принципах HACCP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НАКАЗУ МІНІСТЕРСТВА АГРАРНОЇ ПОЛІТИКИ№ 446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08.08.19. Акт без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виявлених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порушень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датований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давнини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відносно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кінцевої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778BE920" w14:textId="3C4115A1" w:rsidR="00F073B1" w:rsidRDefault="00F073B1" w:rsidP="00F073B1">
      <w:pPr>
        <w:widowControl w:val="0"/>
        <w:tabs>
          <w:tab w:val="left" w:pos="-567"/>
        </w:tabs>
        <w:suppressAutoHyphens/>
        <w:spacing w:after="0" w:line="240" w:lineRule="auto"/>
        <w:ind w:left="-567" w:right="18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4D7B6331" w14:textId="77777777" w:rsidR="00F073B1" w:rsidRDefault="00F073B1" w:rsidP="00F073B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Товар не повинен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містити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генетично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модифіковані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організми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(ГМО),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експертному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протоколі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випробувань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11991E4E" w14:textId="77777777" w:rsidR="00F073B1" w:rsidRDefault="00F073B1" w:rsidP="00F073B1">
      <w:pPr>
        <w:widowControl w:val="0"/>
        <w:tabs>
          <w:tab w:val="left" w:pos="-567"/>
        </w:tabs>
        <w:suppressAutoHyphens/>
        <w:spacing w:after="0" w:line="240" w:lineRule="auto"/>
        <w:ind w:left="-567" w:right="181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3.5. Договір Учасника з акредитованою лабораторією на проведення випробувань харчової  продукції, яка є предметом закупівлі, договір повинен бути дійсним на момент подання пропозиції Учасника закупівлі;</w:t>
      </w:r>
    </w:p>
    <w:p w14:paraId="3A2C3F19" w14:textId="77777777" w:rsidR="00F073B1" w:rsidRDefault="00F073B1" w:rsidP="00F073B1">
      <w:pPr>
        <w:widowControl w:val="0"/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кан-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копію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державних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ветеринарно-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санітарних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проведенню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ветеринарно-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контролю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нагляду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продукції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тваринного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повинен бути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дійсним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додаванням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виконаних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останній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місяць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відносно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кінцевої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4E7D74BA" w14:textId="77777777" w:rsidR="00F073B1" w:rsidRDefault="00F073B1" w:rsidP="00F073B1">
      <w:pPr>
        <w:widowControl w:val="0"/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3.7. З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амовник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залишає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 собою право при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постачанні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відбирати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зразки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Товару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органолептичних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показників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зовнішній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вигляд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колір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смак, запах,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консистенція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), а також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досліджень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наданим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документам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акредитованих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лабораторіях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Відбір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лабораторні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проводиться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надати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лист)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DF3EAD2" w14:textId="77777777" w:rsidR="00F073B1" w:rsidRDefault="00F073B1" w:rsidP="00F073B1">
      <w:pPr>
        <w:widowControl w:val="0"/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3.8. Учасник у складі тендерної пропозиції повинен надати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-копію оригіналу експлуатаційного дозволу Учасника та витяг з Реєстру операторів ринку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стосовно зареєстрованих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Учасника, що дозволяє оператору ринку займатися виробництвом та/або реалізацією і зберіганням предмета закупівлі. Якщо Учасник не 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Виробником – додатково надати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-копію оригіналу експлуатаційного дозволу та витяг з Реєстру операторів ринку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стосовно</w:t>
      </w:r>
      <w:r>
        <w:rPr>
          <w:rFonts w:ascii="Calibri" w:eastAsia="Times New Roman" w:hAnsi="Calibri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зареєстрованих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Виробника що дозволяє оператору ринку займатися виробництвом та/або реалізацією і зберіганням предмета закупівлі.</w:t>
      </w:r>
    </w:p>
    <w:p w14:paraId="51845FAB" w14:textId="77777777" w:rsidR="00F073B1" w:rsidRDefault="00F073B1" w:rsidP="00F073B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6F3BE" w14:textId="77777777" w:rsidR="00F073B1" w:rsidRDefault="00F073B1" w:rsidP="00F073B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</w:rPr>
        <w:t>В місцях,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застосовується вираз «або еквівалент»</w:t>
      </w:r>
    </w:p>
    <w:p w14:paraId="48D1AAF2" w14:textId="77777777" w:rsidR="00F073B1" w:rsidRPr="00C67D36" w:rsidRDefault="00F073B1" w:rsidP="00F073B1"/>
    <w:p w14:paraId="67CCD62D" w14:textId="77777777" w:rsidR="00F073B1" w:rsidRPr="00F073B1" w:rsidRDefault="00F073B1" w:rsidP="00F073B1"/>
    <w:sectPr w:rsidR="00F073B1" w:rsidRPr="00F0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55FF"/>
    <w:multiLevelType w:val="multilevel"/>
    <w:tmpl w:val="2F7029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81409"/>
    <w:multiLevelType w:val="hybridMultilevel"/>
    <w:tmpl w:val="65CA6C68"/>
    <w:lvl w:ilvl="0" w:tplc="2ECA4F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72015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206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B1"/>
    <w:rsid w:val="00F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C905"/>
  <w15:chartTrackingRefBased/>
  <w15:docId w15:val="{2E2302F1-38F9-43A7-8473-409778A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3B1"/>
    <w:pPr>
      <w:spacing w:after="200" w:line="276" w:lineRule="auto"/>
    </w:pPr>
    <w:rPr>
      <w:rFonts w:eastAsiaTheme="minorEastAsia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Chapter10 Знак,Список уровня 2 Знак,название табл/рис Знак,List Paragraph (numbered (a)) Знак,List_Paragraph Знак,Multilevel para_II Знак,List Paragraph-ExecSummary Знак,Akapit z listą BS Знак,Bullets Знак,List Paragraph 1 Знак"/>
    <w:link w:val="a4"/>
    <w:uiPriority w:val="99"/>
    <w:qFormat/>
    <w:locked/>
    <w:rsid w:val="00F073B1"/>
  </w:style>
  <w:style w:type="paragraph" w:styleId="a4">
    <w:name w:val="List Paragraph"/>
    <w:aliases w:val="Chapter10,Список уровня 2,название табл/рис,List Paragraph (numbered (a)),List_Paragraph,Multilevel para_II,List Paragraph-ExecSummary,Akapit z listą BS,Bullets,List Paragraph 1,References,IBL List Paragraph,List Paragraph nowy,AC List 01"/>
    <w:basedOn w:val="a"/>
    <w:link w:val="a3"/>
    <w:uiPriority w:val="99"/>
    <w:qFormat/>
    <w:rsid w:val="00F073B1"/>
    <w:pPr>
      <w:ind w:left="720"/>
      <w:contextualSpacing/>
    </w:pPr>
    <w:rPr>
      <w:rFonts w:eastAsiaTheme="minorHAnsi"/>
      <w:kern w:val="2"/>
      <w:lang w:val="pl-PL" w:eastAsia="en-US"/>
      <w14:ligatures w14:val="standardContextual"/>
    </w:rPr>
  </w:style>
  <w:style w:type="paragraph" w:styleId="a5">
    <w:name w:val="Body Text"/>
    <w:basedOn w:val="a"/>
    <w:link w:val="a6"/>
    <w:semiHidden/>
    <w:unhideWhenUsed/>
    <w:rsid w:val="00F073B1"/>
    <w:pPr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semiHidden/>
    <w:rsid w:val="00F073B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table" w:styleId="a7">
    <w:name w:val="Table Grid"/>
    <w:basedOn w:val="a1"/>
    <w:rsid w:val="00F073B1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Осиченко</dc:creator>
  <cp:keywords/>
  <dc:description/>
  <cp:lastModifiedBy>Олена Осиченко</cp:lastModifiedBy>
  <cp:revision>1</cp:revision>
  <dcterms:created xsi:type="dcterms:W3CDTF">2023-12-20T07:46:00Z</dcterms:created>
  <dcterms:modified xsi:type="dcterms:W3CDTF">2023-12-20T07:51:00Z</dcterms:modified>
</cp:coreProperties>
</file>