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ОГОЛОШЕННЯ </w:t>
      </w:r>
    </w:p>
    <w:p w:rsidR="00F9404B" w:rsidRPr="00F940B3" w:rsidRDefault="00F9404B" w:rsidP="00F9404B">
      <w:pPr>
        <w:shd w:val="clear" w:color="auto" w:fill="FFFFFF"/>
        <w:spacing w:after="0"/>
        <w:ind w:left="450" w:right="450"/>
        <w:jc w:val="center"/>
        <w:rPr>
          <w:rFonts w:eastAsia="Times New Roman" w:cs="Times New Roman"/>
          <w:b/>
          <w:bCs/>
          <w:color w:val="000000"/>
          <w:sz w:val="24"/>
          <w:szCs w:val="24"/>
        </w:rPr>
      </w:pPr>
      <w:r w:rsidRPr="00F940B3">
        <w:rPr>
          <w:rFonts w:eastAsia="Times New Roman" w:cs="Times New Roman"/>
          <w:b/>
          <w:bCs/>
          <w:color w:val="000000"/>
          <w:sz w:val="24"/>
          <w:szCs w:val="24"/>
        </w:rPr>
        <w:t>про проведення відкритих торгів</w:t>
      </w:r>
      <w:bookmarkStart w:id="0" w:name="n43"/>
      <w:bookmarkStart w:id="1" w:name="n62"/>
      <w:bookmarkEnd w:id="0"/>
      <w:bookmarkEnd w:id="1"/>
      <w:r w:rsidRPr="00F940B3">
        <w:rPr>
          <w:rFonts w:eastAsia="Times New Roman" w:cs="Times New Roman"/>
          <w:b/>
          <w:bCs/>
          <w:color w:val="000000"/>
          <w:sz w:val="24"/>
          <w:szCs w:val="24"/>
        </w:rPr>
        <w:t xml:space="preserve"> </w:t>
      </w:r>
      <w:r w:rsidRPr="00DB7196">
        <w:rPr>
          <w:rFonts w:eastAsia="Times New Roman" w:cs="Times New Roman"/>
          <w:b/>
          <w:bCs/>
          <w:color w:val="000000"/>
          <w:sz w:val="24"/>
          <w:szCs w:val="24"/>
        </w:rPr>
        <w:t xml:space="preserve">від </w:t>
      </w:r>
      <w:r w:rsidR="007B4EFB" w:rsidRPr="007B4EFB">
        <w:rPr>
          <w:rFonts w:eastAsia="Times New Roman" w:cs="Times New Roman"/>
          <w:b/>
          <w:bCs/>
          <w:color w:val="000000"/>
          <w:sz w:val="24"/>
          <w:szCs w:val="24"/>
          <w:lang w:val="ru-RU"/>
        </w:rPr>
        <w:t>27</w:t>
      </w:r>
      <w:r w:rsidR="00ED6A8D" w:rsidRPr="007B4EFB">
        <w:rPr>
          <w:rFonts w:eastAsia="Times New Roman" w:cs="Times New Roman"/>
          <w:b/>
          <w:bCs/>
          <w:color w:val="000000"/>
          <w:sz w:val="24"/>
          <w:szCs w:val="24"/>
          <w:lang w:val="ru-RU"/>
        </w:rPr>
        <w:t>.0</w:t>
      </w:r>
      <w:r w:rsidR="00657F8C" w:rsidRPr="007B4EFB">
        <w:rPr>
          <w:rFonts w:eastAsia="Times New Roman" w:cs="Times New Roman"/>
          <w:b/>
          <w:bCs/>
          <w:color w:val="000000"/>
          <w:sz w:val="24"/>
          <w:szCs w:val="24"/>
          <w:lang w:val="ru-RU"/>
        </w:rPr>
        <w:t>4</w:t>
      </w:r>
      <w:r w:rsidR="00EC0800" w:rsidRPr="007B4EFB">
        <w:rPr>
          <w:rFonts w:eastAsia="Times New Roman" w:cs="Times New Roman"/>
          <w:b/>
          <w:bCs/>
          <w:color w:val="000000"/>
          <w:sz w:val="24"/>
          <w:szCs w:val="24"/>
        </w:rPr>
        <w:t>.2024</w:t>
      </w:r>
      <w:r w:rsidR="00FD3D75" w:rsidRPr="007B4EFB">
        <w:rPr>
          <w:rFonts w:eastAsia="Times New Roman" w:cs="Times New Roman"/>
          <w:b/>
          <w:bCs/>
          <w:color w:val="000000"/>
          <w:sz w:val="24"/>
          <w:szCs w:val="24"/>
        </w:rPr>
        <w:t xml:space="preserve"> </w:t>
      </w:r>
      <w:r w:rsidRPr="007B4EFB">
        <w:rPr>
          <w:rFonts w:eastAsia="Times New Roman" w:cs="Times New Roman"/>
          <w:b/>
          <w:bCs/>
          <w:color w:val="000000"/>
          <w:sz w:val="24"/>
          <w:szCs w:val="24"/>
        </w:rPr>
        <w:t>р.</w:t>
      </w:r>
    </w:p>
    <w:p w:rsidR="00F9404B" w:rsidRPr="00F940B3" w:rsidRDefault="00F9404B" w:rsidP="00F9404B">
      <w:pPr>
        <w:shd w:val="clear" w:color="auto" w:fill="FFFFFF"/>
        <w:spacing w:after="0"/>
        <w:ind w:left="450" w:right="450"/>
        <w:jc w:val="center"/>
        <w:rPr>
          <w:rFonts w:eastAsia="Times New Roman" w:cs="Times New Roman"/>
          <w:color w:val="000000"/>
          <w:sz w:val="24"/>
          <w:szCs w:val="24"/>
        </w:rPr>
      </w:pPr>
    </w:p>
    <w:p w:rsidR="00F9404B" w:rsidRPr="00F940B3" w:rsidRDefault="00F9404B" w:rsidP="00803168">
      <w:pPr>
        <w:pStyle w:val="rvps2"/>
        <w:shd w:val="clear" w:color="auto" w:fill="FFFFFF"/>
        <w:spacing w:before="0" w:beforeAutospacing="0" w:after="0" w:afterAutospacing="0"/>
        <w:ind w:firstLine="709"/>
        <w:jc w:val="both"/>
        <w:rPr>
          <w:lang w:val="uk-UA"/>
        </w:rPr>
      </w:pPr>
      <w:bookmarkStart w:id="2" w:name="n655"/>
      <w:bookmarkStart w:id="3" w:name="n656"/>
      <w:bookmarkEnd w:id="2"/>
      <w:bookmarkEnd w:id="3"/>
      <w:r w:rsidRPr="00F940B3">
        <w:rPr>
          <w:lang w:val="uk-UA"/>
        </w:rPr>
        <w:t xml:space="preserve">1. Найменування замовника: </w:t>
      </w:r>
      <w:r w:rsidRPr="00F940B3">
        <w:rPr>
          <w:b/>
          <w:lang w:val="uk-UA"/>
        </w:rPr>
        <w:t>Комунальне підприємство «Одесміськелектротранс»</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1.1. Місцезнаходження  замовника: </w:t>
      </w:r>
      <w:r w:rsidRPr="00F940B3">
        <w:rPr>
          <w:b/>
          <w:lang w:val="uk-UA"/>
        </w:rPr>
        <w:t>65007, Україна, Одеська область, місто Одеса,</w:t>
      </w:r>
      <w:r w:rsidR="00803168" w:rsidRPr="00F940B3">
        <w:rPr>
          <w:b/>
          <w:lang w:val="uk-UA"/>
        </w:rPr>
        <w:t xml:space="preserve"> </w:t>
      </w:r>
      <w:r w:rsidRPr="00F940B3">
        <w:rPr>
          <w:b/>
          <w:lang w:val="uk-UA"/>
        </w:rPr>
        <w:t>вул. Водопровідна, 1</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bCs/>
          <w:lang w:val="uk-UA"/>
        </w:rPr>
      </w:pPr>
      <w:r w:rsidRPr="00F940B3">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sidRPr="00F940B3">
        <w:rPr>
          <w:b/>
          <w:lang w:val="uk-UA"/>
        </w:rPr>
        <w:t>03328497</w:t>
      </w:r>
      <w:r w:rsidR="00803168" w:rsidRPr="00F940B3">
        <w:rPr>
          <w:b/>
          <w:lang w:val="uk-UA"/>
        </w:rPr>
        <w:t>.</w:t>
      </w:r>
    </w:p>
    <w:p w:rsidR="00F9404B" w:rsidRPr="00F940B3" w:rsidRDefault="00F9404B" w:rsidP="00803168">
      <w:pPr>
        <w:pStyle w:val="rvps2"/>
        <w:shd w:val="clear" w:color="auto" w:fill="FFFFFF"/>
        <w:spacing w:before="0" w:beforeAutospacing="0" w:after="0" w:afterAutospacing="0"/>
        <w:ind w:firstLine="709"/>
        <w:jc w:val="both"/>
        <w:rPr>
          <w:b/>
          <w:lang w:val="uk-UA"/>
        </w:rPr>
      </w:pPr>
      <w:r w:rsidRPr="00F940B3">
        <w:rPr>
          <w:lang w:val="uk-UA"/>
        </w:rPr>
        <w:t xml:space="preserve">1.3. Категорія замовника: </w:t>
      </w:r>
      <w:r w:rsidRPr="00F940B3">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w:t>
      </w:r>
      <w:r w:rsidR="00E23F5D">
        <w:rPr>
          <w:b/>
          <w:lang w:val="uk-UA"/>
        </w:rPr>
        <w:t xml:space="preserve"> </w:t>
      </w:r>
      <w:r w:rsidRPr="00F940B3">
        <w:rPr>
          <w:b/>
          <w:lang w:val="uk-UA"/>
        </w:rPr>
        <w:t>р. №114-IX.</w:t>
      </w:r>
    </w:p>
    <w:p w:rsidR="00F9404B" w:rsidRPr="00F940B3" w:rsidRDefault="00F9404B" w:rsidP="009C460F">
      <w:pPr>
        <w:pStyle w:val="rvps2"/>
        <w:shd w:val="clear" w:color="auto" w:fill="FFFFFF"/>
        <w:spacing w:before="0" w:beforeAutospacing="0" w:after="0" w:afterAutospacing="0"/>
        <w:ind w:firstLine="709"/>
        <w:jc w:val="both"/>
        <w:rPr>
          <w:lang w:val="uk-UA"/>
        </w:rPr>
      </w:pPr>
      <w:r w:rsidRPr="00F940B3">
        <w:rPr>
          <w:lang w:val="uk-UA"/>
        </w:rPr>
        <w:t xml:space="preserve">2. Вид предмета закупівлі: </w:t>
      </w:r>
      <w:r w:rsidRPr="00F940B3">
        <w:rPr>
          <w:b/>
          <w:lang w:val="uk-UA"/>
        </w:rPr>
        <w:t>товар</w:t>
      </w:r>
      <w:r w:rsidR="00730378" w:rsidRPr="00F940B3">
        <w:rPr>
          <w:b/>
          <w:lang w:val="uk-UA"/>
        </w:rPr>
        <w:t>.</w:t>
      </w:r>
    </w:p>
    <w:p w:rsidR="00DF3B61" w:rsidRPr="00A10E43" w:rsidRDefault="00F9404B" w:rsidP="009C460F">
      <w:pPr>
        <w:pStyle w:val="rvps2"/>
        <w:shd w:val="clear" w:color="auto" w:fill="FFFFFF"/>
        <w:spacing w:before="0" w:beforeAutospacing="0" w:after="0" w:afterAutospacing="0"/>
        <w:ind w:firstLine="709"/>
        <w:jc w:val="both"/>
        <w:rPr>
          <w:b/>
          <w:lang w:val="uk-UA"/>
        </w:rPr>
      </w:pPr>
      <w:r w:rsidRPr="00A10E43">
        <w:rPr>
          <w:lang w:val="uk-UA"/>
        </w:rPr>
        <w:t xml:space="preserve">2.1. Назва предмета закупівлі із зазначенням коду </w:t>
      </w:r>
      <w:bookmarkStart w:id="4" w:name="_GoBack"/>
      <w:bookmarkEnd w:id="4"/>
      <w:r w:rsidRPr="00A10E43">
        <w:rPr>
          <w:lang w:val="uk-UA"/>
        </w:rPr>
        <w:t>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A10E43">
        <w:rPr>
          <w:b/>
          <w:lang w:val="uk-UA"/>
        </w:rPr>
        <w:t xml:space="preserve"> </w:t>
      </w:r>
      <w:r w:rsidR="009F7B77" w:rsidRPr="00A10E43">
        <w:rPr>
          <w:b/>
          <w:lang w:val="uk-UA"/>
        </w:rPr>
        <w:t xml:space="preserve">за кодом CPV ДК 021:2015: </w:t>
      </w:r>
      <w:r w:rsidR="00A10E43" w:rsidRPr="00A10E43">
        <w:rPr>
          <w:rFonts w:eastAsia="Calibri"/>
          <w:b/>
          <w:lang w:val="uk-UA" w:eastAsia="en-US"/>
        </w:rPr>
        <w:t>44190000-8 Конструкційні матеріали різні.</w:t>
      </w:r>
    </w:p>
    <w:p w:rsidR="00A10E43" w:rsidRPr="00A10E43" w:rsidRDefault="00F9404B" w:rsidP="00A10E43">
      <w:pPr>
        <w:tabs>
          <w:tab w:val="left" w:pos="851"/>
        </w:tabs>
        <w:spacing w:after="0"/>
        <w:ind w:left="-284" w:right="283" w:firstLine="426"/>
        <w:jc w:val="both"/>
        <w:textAlignment w:val="top"/>
        <w:rPr>
          <w:rFonts w:eastAsia="Tahoma" w:cs="Times New Roman"/>
          <w:bCs/>
          <w:color w:val="000000"/>
          <w:sz w:val="24"/>
          <w:szCs w:val="24"/>
        </w:rPr>
      </w:pPr>
      <w:r w:rsidRPr="00A10E43">
        <w:rPr>
          <w:sz w:val="24"/>
          <w:szCs w:val="24"/>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7B4EFB" w:rsidRPr="002C675E">
        <w:rPr>
          <w:rFonts w:eastAsia="Tahoma"/>
          <w:b/>
          <w:bCs/>
          <w:color w:val="000000"/>
          <w:sz w:val="24"/>
          <w:szCs w:val="24"/>
        </w:rPr>
        <w:t>за кодом CPV ДК 021:2015: 44191100-6 Фанера</w:t>
      </w:r>
      <w:r w:rsidR="00A10E43" w:rsidRPr="00E61B10">
        <w:rPr>
          <w:rFonts w:eastAsia="Tahoma" w:cs="Times New Roman"/>
          <w:bCs/>
          <w:color w:val="000000"/>
          <w:sz w:val="24"/>
          <w:szCs w:val="24"/>
        </w:rPr>
        <w:t>.</w:t>
      </w:r>
    </w:p>
    <w:p w:rsidR="00657F8C" w:rsidRPr="007B4EFB" w:rsidRDefault="0048701B" w:rsidP="007B4EFB">
      <w:pPr>
        <w:tabs>
          <w:tab w:val="left" w:pos="851"/>
        </w:tabs>
        <w:spacing w:after="0"/>
        <w:ind w:left="-284" w:right="283" w:firstLine="426"/>
        <w:jc w:val="both"/>
        <w:textAlignment w:val="top"/>
        <w:rPr>
          <w:rFonts w:eastAsia="Calibri" w:cs="Times New Roman"/>
          <w:b/>
          <w:sz w:val="24"/>
          <w:szCs w:val="24"/>
          <w:lang w:eastAsia="en-US"/>
        </w:rPr>
      </w:pPr>
      <w:r w:rsidRPr="00A10E43">
        <w:rPr>
          <w:sz w:val="24"/>
          <w:szCs w:val="24"/>
        </w:rPr>
        <w:t>2</w:t>
      </w:r>
      <w:r w:rsidR="00F9404B" w:rsidRPr="00A10E43">
        <w:rPr>
          <w:sz w:val="24"/>
          <w:szCs w:val="24"/>
        </w:rPr>
        <w:t xml:space="preserve">.3. Конкретна назва предмета закупівлі: </w:t>
      </w:r>
      <w:r w:rsidR="007B4EFB" w:rsidRPr="002C675E">
        <w:rPr>
          <w:sz w:val="24"/>
          <w:szCs w:val="24"/>
        </w:rPr>
        <w:t>Фанера згідно ДК021:2015 код 44190000-8 Конструкційні матеріали різні</w:t>
      </w:r>
      <w:r w:rsidR="00A10E43" w:rsidRPr="00E61B10">
        <w:rPr>
          <w:rFonts w:eastAsia="Calibri" w:cs="Times New Roman"/>
          <w:b/>
          <w:sz w:val="24"/>
          <w:szCs w:val="24"/>
          <w:lang w:eastAsia="en-US"/>
        </w:rPr>
        <w:t>.</w:t>
      </w:r>
    </w:p>
    <w:p w:rsidR="00F9404B" w:rsidRDefault="00F9404B" w:rsidP="0048701B">
      <w:pPr>
        <w:pStyle w:val="rvps2"/>
        <w:shd w:val="clear" w:color="auto" w:fill="FFFFFF"/>
        <w:spacing w:before="0" w:beforeAutospacing="0" w:after="0" w:afterAutospacing="0"/>
        <w:ind w:firstLine="567"/>
        <w:jc w:val="both"/>
        <w:rPr>
          <w:rFonts w:eastAsia="SimSun"/>
          <w:lang w:val="uk-UA"/>
        </w:rPr>
      </w:pPr>
      <w:r w:rsidRPr="00F940B3">
        <w:rPr>
          <w:lang w:val="uk-UA"/>
        </w:rPr>
        <w:t>3.</w:t>
      </w:r>
      <w:r w:rsidRPr="00F940B3">
        <w:rPr>
          <w:b/>
          <w:bCs/>
          <w:lang w:val="uk-UA"/>
        </w:rPr>
        <w:t xml:space="preserve"> </w:t>
      </w:r>
      <w:r w:rsidR="007B4EFB">
        <w:rPr>
          <w:rFonts w:eastAsia="SimSun"/>
          <w:lang w:val="uk-UA"/>
        </w:rPr>
        <w:t>Кількість товару</w:t>
      </w:r>
      <w:r w:rsidRPr="00F940B3">
        <w:rPr>
          <w:rFonts w:eastAsia="SimSun"/>
          <w:lang w:val="uk-UA"/>
        </w:rPr>
        <w:t>:</w:t>
      </w:r>
    </w:p>
    <w:tbl>
      <w:tblPr>
        <w:tblW w:w="9747" w:type="dxa"/>
        <w:tblLayout w:type="fixed"/>
        <w:tblLook w:val="00A0" w:firstRow="1" w:lastRow="0" w:firstColumn="1" w:lastColumn="0" w:noHBand="0" w:noVBand="0"/>
      </w:tblPr>
      <w:tblGrid>
        <w:gridCol w:w="567"/>
        <w:gridCol w:w="1526"/>
        <w:gridCol w:w="1701"/>
        <w:gridCol w:w="3402"/>
        <w:gridCol w:w="1276"/>
        <w:gridCol w:w="1275"/>
      </w:tblGrid>
      <w:tr w:rsidR="007B4EFB" w:rsidRPr="002C675E" w:rsidTr="002F114C">
        <w:trPr>
          <w:trHeight w:val="1522"/>
        </w:trPr>
        <w:tc>
          <w:tcPr>
            <w:tcW w:w="567" w:type="dxa"/>
            <w:tcBorders>
              <w:top w:val="single" w:sz="4" w:space="0" w:color="auto"/>
              <w:left w:val="single" w:sz="4" w:space="0" w:color="auto"/>
              <w:bottom w:val="nil"/>
              <w:right w:val="single" w:sz="4" w:space="0" w:color="auto"/>
            </w:tcBorders>
            <w:vAlign w:val="center"/>
            <w:hideMark/>
          </w:tcPr>
          <w:p w:rsidR="007B4EFB" w:rsidRPr="002C675E" w:rsidRDefault="007B4EFB" w:rsidP="002F114C">
            <w:pPr>
              <w:spacing w:after="0"/>
              <w:jc w:val="center"/>
              <w:rPr>
                <w:b/>
                <w:bCs/>
                <w:color w:val="000000"/>
                <w:sz w:val="20"/>
                <w:szCs w:val="20"/>
              </w:rPr>
            </w:pPr>
            <w:r w:rsidRPr="002C675E">
              <w:rPr>
                <w:b/>
                <w:bCs/>
                <w:color w:val="000000"/>
                <w:sz w:val="20"/>
                <w:szCs w:val="20"/>
              </w:rPr>
              <w:t>№ п/</w:t>
            </w:r>
            <w:proofErr w:type="spellStart"/>
            <w:r w:rsidRPr="002C675E">
              <w:rPr>
                <w:b/>
                <w:bCs/>
                <w:color w:val="000000"/>
                <w:sz w:val="20"/>
                <w:szCs w:val="20"/>
              </w:rPr>
              <w:t>п</w:t>
            </w:r>
            <w:proofErr w:type="spellEnd"/>
          </w:p>
        </w:tc>
        <w:tc>
          <w:tcPr>
            <w:tcW w:w="1526" w:type="dxa"/>
            <w:tcBorders>
              <w:top w:val="single" w:sz="4" w:space="0" w:color="auto"/>
              <w:left w:val="nil"/>
              <w:bottom w:val="nil"/>
              <w:right w:val="single" w:sz="4" w:space="0" w:color="auto"/>
            </w:tcBorders>
            <w:vAlign w:val="center"/>
          </w:tcPr>
          <w:p w:rsidR="007B4EFB" w:rsidRPr="002C675E" w:rsidRDefault="007B4EFB" w:rsidP="002F114C">
            <w:pPr>
              <w:spacing w:after="0"/>
              <w:jc w:val="center"/>
              <w:rPr>
                <w:b/>
                <w:bCs/>
                <w:color w:val="000000"/>
                <w:sz w:val="20"/>
                <w:szCs w:val="20"/>
              </w:rPr>
            </w:pPr>
            <w:r w:rsidRPr="002C675E">
              <w:rPr>
                <w:b/>
                <w:bCs/>
                <w:color w:val="000000"/>
                <w:sz w:val="20"/>
                <w:szCs w:val="20"/>
              </w:rPr>
              <w:t>Код ДКПП</w:t>
            </w:r>
          </w:p>
          <w:p w:rsidR="007B4EFB" w:rsidRPr="002C675E" w:rsidRDefault="007B4EFB" w:rsidP="002F114C">
            <w:pPr>
              <w:spacing w:after="0"/>
              <w:jc w:val="center"/>
              <w:rPr>
                <w:b/>
                <w:bCs/>
                <w:color w:val="000000"/>
                <w:sz w:val="20"/>
                <w:szCs w:val="20"/>
              </w:rPr>
            </w:pPr>
            <w:r w:rsidRPr="002C675E">
              <w:rPr>
                <w:b/>
                <w:bCs/>
                <w:color w:val="000000"/>
                <w:sz w:val="20"/>
                <w:szCs w:val="20"/>
              </w:rPr>
              <w:t>021:2015 предмета закупівлі</w:t>
            </w:r>
          </w:p>
        </w:tc>
        <w:tc>
          <w:tcPr>
            <w:tcW w:w="1701" w:type="dxa"/>
            <w:tcBorders>
              <w:top w:val="single" w:sz="4" w:space="0" w:color="auto"/>
              <w:left w:val="nil"/>
              <w:bottom w:val="nil"/>
              <w:right w:val="single" w:sz="4" w:space="0" w:color="auto"/>
            </w:tcBorders>
            <w:vAlign w:val="center"/>
            <w:hideMark/>
          </w:tcPr>
          <w:p w:rsidR="007B4EFB" w:rsidRPr="002C675E" w:rsidRDefault="007B4EFB" w:rsidP="002F114C">
            <w:pPr>
              <w:spacing w:after="0"/>
              <w:jc w:val="center"/>
              <w:rPr>
                <w:b/>
                <w:bCs/>
                <w:color w:val="000000"/>
                <w:sz w:val="20"/>
                <w:szCs w:val="20"/>
              </w:rPr>
            </w:pPr>
            <w:r w:rsidRPr="002C675E">
              <w:rPr>
                <w:b/>
                <w:bCs/>
                <w:color w:val="000000"/>
                <w:sz w:val="20"/>
                <w:szCs w:val="20"/>
              </w:rPr>
              <w:t>Код ДКПП</w:t>
            </w:r>
          </w:p>
          <w:p w:rsidR="007B4EFB" w:rsidRPr="002C675E" w:rsidRDefault="007B4EFB" w:rsidP="002F114C">
            <w:pPr>
              <w:spacing w:after="0"/>
              <w:jc w:val="center"/>
              <w:rPr>
                <w:b/>
                <w:bCs/>
                <w:color w:val="000000"/>
                <w:sz w:val="20"/>
                <w:szCs w:val="20"/>
              </w:rPr>
            </w:pPr>
            <w:r w:rsidRPr="002C675E">
              <w:rPr>
                <w:b/>
                <w:bCs/>
                <w:color w:val="000000"/>
                <w:sz w:val="20"/>
                <w:szCs w:val="20"/>
              </w:rPr>
              <w:t xml:space="preserve">021:2015 </w:t>
            </w:r>
            <w:r w:rsidRPr="002C675E">
              <w:rPr>
                <w:b/>
                <w:bCs/>
                <w:color w:val="000000"/>
                <w:sz w:val="20"/>
                <w:szCs w:val="20"/>
                <w:u w:val="single"/>
              </w:rPr>
              <w:t xml:space="preserve">номенклатури </w:t>
            </w:r>
            <w:r w:rsidRPr="002C675E">
              <w:rPr>
                <w:b/>
                <w:bCs/>
                <w:color w:val="000000"/>
                <w:sz w:val="20"/>
                <w:szCs w:val="20"/>
              </w:rPr>
              <w:t>предмета закупівлі</w:t>
            </w:r>
          </w:p>
        </w:tc>
        <w:tc>
          <w:tcPr>
            <w:tcW w:w="3402" w:type="dxa"/>
            <w:tcBorders>
              <w:top w:val="single" w:sz="4" w:space="0" w:color="auto"/>
              <w:left w:val="nil"/>
              <w:bottom w:val="nil"/>
              <w:right w:val="single" w:sz="4" w:space="0" w:color="auto"/>
            </w:tcBorders>
            <w:vAlign w:val="center"/>
            <w:hideMark/>
          </w:tcPr>
          <w:p w:rsidR="007B4EFB" w:rsidRPr="002C675E" w:rsidRDefault="007B4EFB" w:rsidP="002F114C">
            <w:pPr>
              <w:spacing w:after="0"/>
              <w:jc w:val="center"/>
              <w:rPr>
                <w:b/>
                <w:bCs/>
                <w:color w:val="000000"/>
                <w:sz w:val="20"/>
                <w:szCs w:val="20"/>
              </w:rPr>
            </w:pPr>
            <w:r w:rsidRPr="002C675E">
              <w:rPr>
                <w:b/>
                <w:bCs/>
                <w:color w:val="000000"/>
                <w:sz w:val="20"/>
                <w:szCs w:val="20"/>
              </w:rPr>
              <w:t>Найменування</w:t>
            </w:r>
          </w:p>
          <w:p w:rsidR="007B4EFB" w:rsidRPr="002C675E" w:rsidRDefault="007B4EFB" w:rsidP="002F114C">
            <w:pPr>
              <w:spacing w:after="0"/>
              <w:jc w:val="center"/>
              <w:rPr>
                <w:b/>
                <w:bCs/>
                <w:color w:val="000000"/>
                <w:sz w:val="20"/>
                <w:szCs w:val="20"/>
              </w:rPr>
            </w:pPr>
            <w:r w:rsidRPr="002C675E">
              <w:rPr>
                <w:b/>
                <w:sz w:val="20"/>
                <w:szCs w:val="20"/>
              </w:rPr>
              <w:t>товару</w:t>
            </w:r>
          </w:p>
          <w:p w:rsidR="007B4EFB" w:rsidRPr="002C675E" w:rsidRDefault="007B4EFB" w:rsidP="002F114C">
            <w:pPr>
              <w:spacing w:after="0"/>
              <w:jc w:val="center"/>
              <w:rPr>
                <w:b/>
                <w:bCs/>
                <w:color w:val="000000"/>
                <w:sz w:val="20"/>
                <w:szCs w:val="20"/>
              </w:rPr>
            </w:pPr>
          </w:p>
        </w:tc>
        <w:tc>
          <w:tcPr>
            <w:tcW w:w="1276" w:type="dxa"/>
            <w:tcBorders>
              <w:top w:val="single" w:sz="4" w:space="0" w:color="auto"/>
              <w:left w:val="nil"/>
              <w:bottom w:val="nil"/>
              <w:right w:val="single" w:sz="4" w:space="0" w:color="auto"/>
            </w:tcBorders>
            <w:vAlign w:val="center"/>
            <w:hideMark/>
          </w:tcPr>
          <w:p w:rsidR="007B4EFB" w:rsidRPr="002C675E" w:rsidRDefault="007B4EFB" w:rsidP="002F114C">
            <w:pPr>
              <w:spacing w:after="0"/>
              <w:jc w:val="center"/>
              <w:rPr>
                <w:b/>
                <w:bCs/>
                <w:color w:val="000000"/>
                <w:sz w:val="20"/>
                <w:szCs w:val="20"/>
              </w:rPr>
            </w:pPr>
            <w:r w:rsidRPr="002C675E">
              <w:rPr>
                <w:b/>
                <w:bCs/>
                <w:color w:val="000000"/>
                <w:sz w:val="20"/>
                <w:szCs w:val="20"/>
              </w:rPr>
              <w:t xml:space="preserve">Од. </w:t>
            </w:r>
            <w:proofErr w:type="spellStart"/>
            <w:r w:rsidRPr="002C675E">
              <w:rPr>
                <w:b/>
                <w:bCs/>
                <w:color w:val="000000"/>
                <w:sz w:val="20"/>
                <w:szCs w:val="20"/>
              </w:rPr>
              <w:t>вим</w:t>
            </w:r>
            <w:proofErr w:type="spellEnd"/>
          </w:p>
        </w:tc>
        <w:tc>
          <w:tcPr>
            <w:tcW w:w="1275" w:type="dxa"/>
            <w:tcBorders>
              <w:top w:val="single" w:sz="4" w:space="0" w:color="auto"/>
              <w:left w:val="nil"/>
              <w:bottom w:val="nil"/>
              <w:right w:val="single" w:sz="4" w:space="0" w:color="auto"/>
            </w:tcBorders>
            <w:vAlign w:val="center"/>
            <w:hideMark/>
          </w:tcPr>
          <w:p w:rsidR="007B4EFB" w:rsidRPr="002C675E" w:rsidRDefault="007B4EFB" w:rsidP="002F114C">
            <w:pPr>
              <w:spacing w:after="0"/>
              <w:jc w:val="center"/>
              <w:rPr>
                <w:b/>
                <w:bCs/>
                <w:color w:val="000000"/>
                <w:sz w:val="20"/>
                <w:szCs w:val="20"/>
              </w:rPr>
            </w:pPr>
            <w:r w:rsidRPr="002C675E">
              <w:rPr>
                <w:b/>
                <w:bCs/>
                <w:color w:val="000000"/>
                <w:sz w:val="20"/>
                <w:szCs w:val="20"/>
              </w:rPr>
              <w:t>Кількість</w:t>
            </w:r>
          </w:p>
        </w:tc>
      </w:tr>
      <w:tr w:rsidR="007B4EFB" w:rsidRPr="002C675E" w:rsidTr="002F114C">
        <w:trPr>
          <w:cantSplit/>
          <w:trHeight w:val="83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1</w:t>
            </w:r>
          </w:p>
        </w:tc>
        <w:tc>
          <w:tcPr>
            <w:tcW w:w="1526" w:type="dxa"/>
            <w:vMerge w:val="restart"/>
            <w:tcBorders>
              <w:top w:val="single" w:sz="4" w:space="0" w:color="auto"/>
              <w:left w:val="nil"/>
              <w:bottom w:val="single" w:sz="4" w:space="0" w:color="auto"/>
              <w:right w:val="single" w:sz="4" w:space="0" w:color="auto"/>
            </w:tcBorders>
            <w:noWrap/>
            <w:textDirection w:val="btLr"/>
            <w:vAlign w:val="center"/>
            <w:hideMark/>
          </w:tcPr>
          <w:p w:rsidR="007B4EFB" w:rsidRPr="002C675E" w:rsidRDefault="007B4EFB" w:rsidP="002F114C">
            <w:pPr>
              <w:spacing w:after="0"/>
              <w:jc w:val="center"/>
              <w:rPr>
                <w:b/>
                <w:sz w:val="20"/>
                <w:szCs w:val="20"/>
              </w:rPr>
            </w:pPr>
            <w:r w:rsidRPr="002C675E">
              <w:rPr>
                <w:b/>
                <w:sz w:val="20"/>
                <w:szCs w:val="20"/>
              </w:rPr>
              <w:t>44190000-8 Конструкційні матеріали різні</w:t>
            </w:r>
          </w:p>
        </w:tc>
        <w:tc>
          <w:tcPr>
            <w:tcW w:w="1701" w:type="dxa"/>
            <w:vMerge w:val="restart"/>
            <w:tcBorders>
              <w:top w:val="single" w:sz="4" w:space="0" w:color="auto"/>
              <w:left w:val="nil"/>
              <w:bottom w:val="single" w:sz="4" w:space="0" w:color="auto"/>
              <w:right w:val="single" w:sz="4" w:space="0" w:color="auto"/>
            </w:tcBorders>
            <w:textDirection w:val="btLr"/>
            <w:vAlign w:val="center"/>
            <w:hideMark/>
          </w:tcPr>
          <w:p w:rsidR="007B4EFB" w:rsidRPr="002C675E" w:rsidRDefault="007B4EFB" w:rsidP="002F114C">
            <w:pPr>
              <w:spacing w:after="0"/>
              <w:jc w:val="center"/>
              <w:rPr>
                <w:b/>
                <w:sz w:val="20"/>
                <w:szCs w:val="20"/>
              </w:rPr>
            </w:pPr>
            <w:r w:rsidRPr="002C675E">
              <w:rPr>
                <w:b/>
                <w:sz w:val="20"/>
                <w:szCs w:val="20"/>
              </w:rPr>
              <w:t>44191100-6 Фанера</w:t>
            </w:r>
          </w:p>
        </w:tc>
        <w:tc>
          <w:tcPr>
            <w:tcW w:w="3402" w:type="dxa"/>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color w:val="000000"/>
                <w:sz w:val="20"/>
                <w:szCs w:val="20"/>
              </w:rPr>
            </w:pPr>
            <w:r w:rsidRPr="002C675E">
              <w:rPr>
                <w:color w:val="000000"/>
                <w:sz w:val="20"/>
                <w:szCs w:val="20"/>
              </w:rPr>
              <w:t>Фанера шліфована 18 мм СР/</w:t>
            </w:r>
            <w:proofErr w:type="spellStart"/>
            <w:r w:rsidRPr="002C675E">
              <w:rPr>
                <w:color w:val="000000"/>
                <w:sz w:val="20"/>
                <w:szCs w:val="20"/>
              </w:rPr>
              <w:t>СР</w:t>
            </w:r>
            <w:proofErr w:type="spellEnd"/>
          </w:p>
        </w:tc>
        <w:tc>
          <w:tcPr>
            <w:tcW w:w="1276"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шт</w:t>
            </w:r>
          </w:p>
        </w:tc>
        <w:tc>
          <w:tcPr>
            <w:tcW w:w="1275"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sz w:val="20"/>
                <w:szCs w:val="20"/>
              </w:rPr>
            </w:pPr>
            <w:r w:rsidRPr="002C675E">
              <w:rPr>
                <w:sz w:val="20"/>
                <w:szCs w:val="20"/>
              </w:rPr>
              <w:t>150</w:t>
            </w:r>
          </w:p>
        </w:tc>
      </w:tr>
      <w:tr w:rsidR="007B4EFB" w:rsidRPr="002C675E" w:rsidTr="002F114C">
        <w:trPr>
          <w:cantSplit/>
          <w:trHeight w:val="707"/>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2</w:t>
            </w:r>
          </w:p>
        </w:tc>
        <w:tc>
          <w:tcPr>
            <w:tcW w:w="1526" w:type="dxa"/>
            <w:vMerge/>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b/>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b/>
                <w:sz w:val="20"/>
                <w:szCs w:val="20"/>
              </w:rPr>
            </w:pPr>
          </w:p>
        </w:tc>
        <w:tc>
          <w:tcPr>
            <w:tcW w:w="3402" w:type="dxa"/>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color w:val="000000"/>
                <w:sz w:val="20"/>
                <w:szCs w:val="20"/>
              </w:rPr>
            </w:pPr>
            <w:r w:rsidRPr="002C675E">
              <w:rPr>
                <w:color w:val="000000"/>
                <w:sz w:val="20"/>
                <w:szCs w:val="20"/>
              </w:rPr>
              <w:t>Фанера шліфована 15 мм СР/</w:t>
            </w:r>
            <w:proofErr w:type="spellStart"/>
            <w:r w:rsidRPr="002C675E">
              <w:rPr>
                <w:color w:val="000000"/>
                <w:sz w:val="20"/>
                <w:szCs w:val="20"/>
              </w:rPr>
              <w:t>СР</w:t>
            </w:r>
            <w:proofErr w:type="spellEnd"/>
          </w:p>
        </w:tc>
        <w:tc>
          <w:tcPr>
            <w:tcW w:w="1276"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шт</w:t>
            </w:r>
          </w:p>
        </w:tc>
        <w:tc>
          <w:tcPr>
            <w:tcW w:w="1275"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sz w:val="20"/>
                <w:szCs w:val="20"/>
              </w:rPr>
            </w:pPr>
            <w:r w:rsidRPr="002C675E">
              <w:rPr>
                <w:sz w:val="20"/>
                <w:szCs w:val="20"/>
              </w:rPr>
              <w:t>30</w:t>
            </w:r>
          </w:p>
        </w:tc>
      </w:tr>
      <w:tr w:rsidR="007B4EFB" w:rsidRPr="002C675E" w:rsidTr="002F114C">
        <w:trPr>
          <w:cantSplit/>
          <w:trHeight w:val="832"/>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3</w:t>
            </w:r>
          </w:p>
        </w:tc>
        <w:tc>
          <w:tcPr>
            <w:tcW w:w="1526" w:type="dxa"/>
            <w:vMerge/>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b/>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b/>
                <w:sz w:val="20"/>
                <w:szCs w:val="20"/>
              </w:rPr>
            </w:pPr>
          </w:p>
        </w:tc>
        <w:tc>
          <w:tcPr>
            <w:tcW w:w="3402" w:type="dxa"/>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color w:val="000000"/>
                <w:sz w:val="20"/>
                <w:szCs w:val="20"/>
              </w:rPr>
            </w:pPr>
            <w:r w:rsidRPr="002C675E">
              <w:rPr>
                <w:color w:val="000000"/>
                <w:sz w:val="20"/>
                <w:szCs w:val="20"/>
              </w:rPr>
              <w:t>Фанера ламінована 6,5 мм</w:t>
            </w:r>
          </w:p>
        </w:tc>
        <w:tc>
          <w:tcPr>
            <w:tcW w:w="1276"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шт</w:t>
            </w:r>
          </w:p>
        </w:tc>
        <w:tc>
          <w:tcPr>
            <w:tcW w:w="1275"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sz w:val="20"/>
                <w:szCs w:val="20"/>
              </w:rPr>
            </w:pPr>
            <w:r w:rsidRPr="002C675E">
              <w:rPr>
                <w:sz w:val="20"/>
                <w:szCs w:val="20"/>
              </w:rPr>
              <w:t>120</w:t>
            </w:r>
          </w:p>
        </w:tc>
      </w:tr>
      <w:tr w:rsidR="007B4EFB" w:rsidRPr="002C675E" w:rsidTr="002F114C">
        <w:trPr>
          <w:cantSplit/>
          <w:trHeight w:val="843"/>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4</w:t>
            </w:r>
          </w:p>
        </w:tc>
        <w:tc>
          <w:tcPr>
            <w:tcW w:w="1526" w:type="dxa"/>
            <w:vMerge/>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b/>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b/>
                <w:sz w:val="20"/>
                <w:szCs w:val="20"/>
              </w:rPr>
            </w:pPr>
          </w:p>
        </w:tc>
        <w:tc>
          <w:tcPr>
            <w:tcW w:w="3402" w:type="dxa"/>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color w:val="000000"/>
                <w:sz w:val="20"/>
                <w:szCs w:val="20"/>
              </w:rPr>
            </w:pPr>
            <w:r w:rsidRPr="002C675E">
              <w:rPr>
                <w:color w:val="000000"/>
                <w:sz w:val="20"/>
                <w:szCs w:val="20"/>
              </w:rPr>
              <w:t>Фанера шліфована 18 мм ФК СР/</w:t>
            </w:r>
            <w:proofErr w:type="spellStart"/>
            <w:r w:rsidRPr="002C675E">
              <w:rPr>
                <w:color w:val="000000"/>
                <w:sz w:val="20"/>
                <w:szCs w:val="20"/>
              </w:rPr>
              <w:t>СР</w:t>
            </w:r>
            <w:proofErr w:type="spellEnd"/>
          </w:p>
        </w:tc>
        <w:tc>
          <w:tcPr>
            <w:tcW w:w="1276"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шт</w:t>
            </w:r>
          </w:p>
        </w:tc>
        <w:tc>
          <w:tcPr>
            <w:tcW w:w="1275"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sz w:val="20"/>
                <w:szCs w:val="20"/>
              </w:rPr>
            </w:pPr>
            <w:r w:rsidRPr="002C675E">
              <w:rPr>
                <w:sz w:val="20"/>
                <w:szCs w:val="20"/>
              </w:rPr>
              <w:t>30</w:t>
            </w:r>
          </w:p>
        </w:tc>
      </w:tr>
      <w:tr w:rsidR="007B4EFB" w:rsidRPr="002C675E" w:rsidTr="002F114C">
        <w:trPr>
          <w:cantSplit/>
          <w:trHeight w:val="841"/>
        </w:trPr>
        <w:tc>
          <w:tcPr>
            <w:tcW w:w="567" w:type="dxa"/>
            <w:tcBorders>
              <w:top w:val="single" w:sz="4" w:space="0" w:color="auto"/>
              <w:left w:val="single" w:sz="4" w:space="0" w:color="auto"/>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5</w:t>
            </w:r>
          </w:p>
        </w:tc>
        <w:tc>
          <w:tcPr>
            <w:tcW w:w="1526" w:type="dxa"/>
            <w:vMerge/>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b/>
                <w:sz w:val="20"/>
                <w:szCs w:val="20"/>
              </w:rPr>
            </w:pPr>
          </w:p>
        </w:tc>
        <w:tc>
          <w:tcPr>
            <w:tcW w:w="1701" w:type="dxa"/>
            <w:vMerge/>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b/>
                <w:sz w:val="20"/>
                <w:szCs w:val="20"/>
              </w:rPr>
            </w:pPr>
          </w:p>
        </w:tc>
        <w:tc>
          <w:tcPr>
            <w:tcW w:w="3402" w:type="dxa"/>
            <w:tcBorders>
              <w:top w:val="single" w:sz="4" w:space="0" w:color="auto"/>
              <w:left w:val="nil"/>
              <w:bottom w:val="single" w:sz="4" w:space="0" w:color="auto"/>
              <w:right w:val="single" w:sz="4" w:space="0" w:color="auto"/>
            </w:tcBorders>
            <w:vAlign w:val="center"/>
            <w:hideMark/>
          </w:tcPr>
          <w:p w:rsidR="007B4EFB" w:rsidRPr="002C675E" w:rsidRDefault="007B4EFB" w:rsidP="002F114C">
            <w:pPr>
              <w:spacing w:after="0"/>
              <w:jc w:val="center"/>
              <w:rPr>
                <w:color w:val="000000"/>
                <w:sz w:val="20"/>
                <w:szCs w:val="20"/>
              </w:rPr>
            </w:pPr>
            <w:r w:rsidRPr="002C675E">
              <w:rPr>
                <w:color w:val="000000"/>
                <w:sz w:val="20"/>
                <w:szCs w:val="20"/>
              </w:rPr>
              <w:t>Фанера ламінована 18 мм</w:t>
            </w:r>
          </w:p>
        </w:tc>
        <w:tc>
          <w:tcPr>
            <w:tcW w:w="1276"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color w:val="000000"/>
                <w:sz w:val="20"/>
                <w:szCs w:val="20"/>
              </w:rPr>
            </w:pPr>
            <w:r w:rsidRPr="002C675E">
              <w:rPr>
                <w:color w:val="000000"/>
                <w:sz w:val="20"/>
                <w:szCs w:val="20"/>
              </w:rPr>
              <w:t>шт</w:t>
            </w:r>
          </w:p>
        </w:tc>
        <w:tc>
          <w:tcPr>
            <w:tcW w:w="1275" w:type="dxa"/>
            <w:tcBorders>
              <w:top w:val="single" w:sz="4" w:space="0" w:color="auto"/>
              <w:left w:val="nil"/>
              <w:bottom w:val="single" w:sz="4" w:space="0" w:color="auto"/>
              <w:right w:val="single" w:sz="4" w:space="0" w:color="auto"/>
            </w:tcBorders>
            <w:noWrap/>
            <w:vAlign w:val="center"/>
            <w:hideMark/>
          </w:tcPr>
          <w:p w:rsidR="007B4EFB" w:rsidRPr="002C675E" w:rsidRDefault="007B4EFB" w:rsidP="002F114C">
            <w:pPr>
              <w:spacing w:after="0"/>
              <w:jc w:val="center"/>
              <w:rPr>
                <w:sz w:val="20"/>
                <w:szCs w:val="20"/>
              </w:rPr>
            </w:pPr>
            <w:r w:rsidRPr="002C675E">
              <w:rPr>
                <w:sz w:val="20"/>
                <w:szCs w:val="20"/>
              </w:rPr>
              <w:t>6</w:t>
            </w:r>
          </w:p>
        </w:tc>
      </w:tr>
    </w:tbl>
    <w:p w:rsidR="00ED6A8D" w:rsidRPr="00F940B3" w:rsidRDefault="00ED6A8D" w:rsidP="00C15CBF">
      <w:pPr>
        <w:pStyle w:val="rvps2"/>
        <w:shd w:val="clear" w:color="auto" w:fill="FFFFFF"/>
        <w:spacing w:before="0" w:beforeAutospacing="0" w:after="0" w:afterAutospacing="0"/>
        <w:jc w:val="both"/>
        <w:rPr>
          <w:rFonts w:eastAsia="SimSun"/>
          <w:lang w:val="uk-UA"/>
        </w:rPr>
      </w:pPr>
    </w:p>
    <w:p w:rsidR="00845570" w:rsidRPr="00F940B3" w:rsidRDefault="00F9404B" w:rsidP="00EF1591">
      <w:pPr>
        <w:shd w:val="clear" w:color="auto" w:fill="FFFFFF"/>
        <w:spacing w:after="0"/>
        <w:jc w:val="both"/>
        <w:rPr>
          <w:rFonts w:cs="Times New Roman"/>
          <w:color w:val="FF0000"/>
          <w:sz w:val="24"/>
          <w:szCs w:val="24"/>
        </w:rPr>
      </w:pPr>
      <w:r w:rsidRPr="00F940B3">
        <w:rPr>
          <w:rFonts w:cs="Times New Roman"/>
          <w:sz w:val="24"/>
          <w:szCs w:val="24"/>
        </w:rPr>
        <w:t>3.1. Місце поставки товарів</w:t>
      </w:r>
      <w:bookmarkStart w:id="5" w:name="n417"/>
      <w:bookmarkEnd w:id="5"/>
      <w:r w:rsidRPr="00F940B3">
        <w:rPr>
          <w:rFonts w:cs="Times New Roman"/>
          <w:sz w:val="24"/>
          <w:szCs w:val="24"/>
        </w:rPr>
        <w:t>:</w:t>
      </w:r>
      <w:r w:rsidRPr="00F940B3">
        <w:rPr>
          <w:rFonts w:cs="Times New Roman"/>
          <w:color w:val="FF0000"/>
          <w:sz w:val="24"/>
          <w:szCs w:val="24"/>
        </w:rPr>
        <w:t xml:space="preserve"> </w:t>
      </w:r>
      <w:r w:rsidRPr="00F940B3">
        <w:rPr>
          <w:b/>
          <w:sz w:val="24"/>
          <w:szCs w:val="24"/>
          <w:lang w:eastAsia="zh-CN"/>
        </w:rPr>
        <w:t>65007</w:t>
      </w:r>
      <w:r w:rsidRPr="00F940B3">
        <w:rPr>
          <w:b/>
          <w:color w:val="000000"/>
          <w:sz w:val="24"/>
          <w:szCs w:val="24"/>
          <w:lang w:eastAsia="zh-CN"/>
        </w:rPr>
        <w:t xml:space="preserve">, </w:t>
      </w:r>
      <w:r w:rsidRPr="00F940B3">
        <w:rPr>
          <w:b/>
          <w:color w:val="121212"/>
          <w:sz w:val="24"/>
          <w:szCs w:val="24"/>
          <w:lang w:eastAsia="zh-CN"/>
        </w:rPr>
        <w:t>Одеська</w:t>
      </w:r>
      <w:r w:rsidRPr="00F940B3">
        <w:rPr>
          <w:b/>
          <w:sz w:val="24"/>
          <w:szCs w:val="24"/>
          <w:lang w:eastAsia="zh-CN"/>
        </w:rPr>
        <w:t xml:space="preserve"> область</w:t>
      </w:r>
      <w:r w:rsidRPr="00F940B3">
        <w:rPr>
          <w:b/>
          <w:color w:val="000000"/>
          <w:sz w:val="24"/>
          <w:szCs w:val="24"/>
          <w:lang w:eastAsia="zh-CN"/>
        </w:rPr>
        <w:t xml:space="preserve">, </w:t>
      </w:r>
      <w:r w:rsidRPr="00F940B3">
        <w:rPr>
          <w:b/>
          <w:sz w:val="24"/>
          <w:szCs w:val="24"/>
          <w:lang w:eastAsia="zh-CN"/>
        </w:rPr>
        <w:t>м. Одеса</w:t>
      </w:r>
      <w:r w:rsidRPr="00F940B3">
        <w:rPr>
          <w:b/>
          <w:color w:val="000000"/>
          <w:sz w:val="24"/>
          <w:szCs w:val="24"/>
          <w:lang w:eastAsia="zh-CN"/>
        </w:rPr>
        <w:t>, вул. Водопровідна, 1</w:t>
      </w:r>
      <w:r w:rsidR="00C15F8A" w:rsidRPr="00F940B3">
        <w:rPr>
          <w:b/>
          <w:color w:val="000000"/>
          <w:sz w:val="24"/>
          <w:szCs w:val="24"/>
          <w:lang w:eastAsia="zh-CN"/>
        </w:rPr>
        <w:t>.</w:t>
      </w:r>
    </w:p>
    <w:p w:rsidR="00A10E43" w:rsidRPr="007B4EFB" w:rsidRDefault="00F9404B" w:rsidP="007B4EFB">
      <w:pPr>
        <w:pStyle w:val="rvps2"/>
        <w:shd w:val="clear" w:color="auto" w:fill="FFFFFF"/>
        <w:spacing w:before="0" w:beforeAutospacing="0" w:after="0" w:afterAutospacing="0"/>
        <w:jc w:val="both"/>
        <w:rPr>
          <w:b/>
          <w:color w:val="000000"/>
          <w:lang w:val="uk-UA"/>
        </w:rPr>
      </w:pPr>
      <w:r w:rsidRPr="00A3072E">
        <w:rPr>
          <w:color w:val="000000"/>
          <w:lang w:val="uk-UA"/>
        </w:rPr>
        <w:t xml:space="preserve">4. Очікувана вартість предмета закупівлі: </w:t>
      </w:r>
      <w:r w:rsidR="00A10E43" w:rsidRPr="007B4EFB">
        <w:rPr>
          <w:b/>
          <w:bCs/>
          <w:lang w:val="uk-UA"/>
        </w:rPr>
        <w:t>1</w:t>
      </w:r>
      <w:r w:rsidR="00A10E43">
        <w:rPr>
          <w:b/>
          <w:bCs/>
          <w:lang w:val="en-US"/>
        </w:rPr>
        <w:t> </w:t>
      </w:r>
      <w:r w:rsidR="00A10E43" w:rsidRPr="007B4EFB">
        <w:rPr>
          <w:b/>
          <w:bCs/>
          <w:lang w:val="uk-UA"/>
        </w:rPr>
        <w:t>554</w:t>
      </w:r>
      <w:r w:rsidR="00A10E43">
        <w:rPr>
          <w:b/>
          <w:bCs/>
          <w:lang w:val="en-US"/>
        </w:rPr>
        <w:t> </w:t>
      </w:r>
      <w:r w:rsidR="00A10E43" w:rsidRPr="007B4EFB">
        <w:rPr>
          <w:b/>
          <w:bCs/>
          <w:lang w:val="uk-UA"/>
        </w:rPr>
        <w:t>516</w:t>
      </w:r>
      <w:r w:rsidR="00A10E43">
        <w:rPr>
          <w:b/>
          <w:bCs/>
          <w:lang w:val="uk-UA"/>
        </w:rPr>
        <w:t>,</w:t>
      </w:r>
      <w:r w:rsidR="00A10E43" w:rsidRPr="007B4EFB">
        <w:rPr>
          <w:b/>
          <w:bCs/>
          <w:lang w:val="uk-UA"/>
        </w:rPr>
        <w:t>00</w:t>
      </w:r>
      <w:r w:rsidR="00A10E43">
        <w:rPr>
          <w:b/>
          <w:bCs/>
          <w:lang w:val="uk-UA"/>
        </w:rPr>
        <w:t xml:space="preserve"> </w:t>
      </w:r>
      <w:r w:rsidR="00A10E43" w:rsidRPr="00C96021">
        <w:rPr>
          <w:b/>
          <w:bCs/>
          <w:lang w:val="uk-UA"/>
        </w:rPr>
        <w:t xml:space="preserve">грн. </w:t>
      </w:r>
      <w:r w:rsidR="00A10E43" w:rsidRPr="00C96021">
        <w:rPr>
          <w:b/>
          <w:color w:val="000000"/>
          <w:lang w:val="uk-UA"/>
        </w:rPr>
        <w:t>(</w:t>
      </w:r>
      <w:r w:rsidR="00A10E43">
        <w:rPr>
          <w:b/>
          <w:color w:val="000000"/>
          <w:lang w:val="uk-UA"/>
        </w:rPr>
        <w:t>один мільйон п’ятсот п’ятдесят чотири</w:t>
      </w:r>
      <w:r w:rsidR="00A10E43" w:rsidRPr="00C96021">
        <w:rPr>
          <w:b/>
          <w:color w:val="000000"/>
          <w:lang w:val="uk-UA"/>
        </w:rPr>
        <w:t xml:space="preserve"> тисяч</w:t>
      </w:r>
      <w:r w:rsidR="00A10E43">
        <w:rPr>
          <w:b/>
          <w:color w:val="000000"/>
          <w:lang w:val="uk-UA"/>
        </w:rPr>
        <w:t>і</w:t>
      </w:r>
      <w:r w:rsidR="00A10E43" w:rsidRPr="00C96021">
        <w:rPr>
          <w:b/>
          <w:color w:val="000000"/>
          <w:lang w:val="uk-UA"/>
        </w:rPr>
        <w:t xml:space="preserve"> </w:t>
      </w:r>
      <w:r w:rsidR="00A10E43">
        <w:rPr>
          <w:b/>
          <w:color w:val="000000"/>
          <w:lang w:val="uk-UA"/>
        </w:rPr>
        <w:t>п’ятсот шістнадцять гривень 00</w:t>
      </w:r>
      <w:r w:rsidR="007B4EFB">
        <w:rPr>
          <w:b/>
          <w:color w:val="000000"/>
          <w:lang w:val="uk-UA"/>
        </w:rPr>
        <w:t xml:space="preserve"> копійок</w:t>
      </w:r>
      <w:r w:rsidR="00A10E43" w:rsidRPr="00C96021">
        <w:rPr>
          <w:b/>
          <w:color w:val="000000"/>
          <w:lang w:val="uk-UA"/>
        </w:rPr>
        <w:t>) з ПДВ.</w:t>
      </w:r>
    </w:p>
    <w:p w:rsidR="00F9404B" w:rsidRPr="00F940B3" w:rsidRDefault="00F9404B" w:rsidP="002A41EB">
      <w:pPr>
        <w:pStyle w:val="rvps2"/>
        <w:shd w:val="clear" w:color="auto" w:fill="FFFFFF"/>
        <w:spacing w:before="0" w:beforeAutospacing="0" w:after="0" w:afterAutospacing="0"/>
        <w:jc w:val="both"/>
        <w:rPr>
          <w:color w:val="000000"/>
          <w:lang w:val="uk-UA"/>
        </w:rPr>
      </w:pPr>
      <w:r w:rsidRPr="00F940B3">
        <w:rPr>
          <w:color w:val="000000"/>
          <w:lang w:val="uk-UA"/>
        </w:rPr>
        <w:t>4.1. Джерело фінансування закупівлі:</w:t>
      </w:r>
      <w:r w:rsidRPr="00F940B3">
        <w:rPr>
          <w:b/>
          <w:color w:val="000000"/>
          <w:lang w:val="uk-UA"/>
        </w:rPr>
        <w:t xml:space="preserve"> </w:t>
      </w:r>
      <w:r w:rsidR="00F625AC" w:rsidRPr="00F940B3">
        <w:rPr>
          <w:b/>
          <w:color w:val="000000"/>
          <w:lang w:val="uk-UA"/>
        </w:rPr>
        <w:t>В</w:t>
      </w:r>
      <w:r w:rsidR="00B026B2" w:rsidRPr="00F940B3">
        <w:rPr>
          <w:rFonts w:eastAsia="SimSun"/>
          <w:b/>
          <w:color w:val="000000"/>
          <w:lang w:val="uk-UA"/>
        </w:rPr>
        <w:t>ласний бюджет (кошти від господарської діяльності підприємства)</w:t>
      </w:r>
      <w:r w:rsidR="00FD2B3D" w:rsidRPr="00F940B3">
        <w:rPr>
          <w:b/>
          <w:color w:val="000000"/>
          <w:lang w:val="uk-UA"/>
        </w:rPr>
        <w:t>.</w:t>
      </w:r>
    </w:p>
    <w:p w:rsidR="00A10E26" w:rsidRDefault="006A5FE1" w:rsidP="000801E9">
      <w:pPr>
        <w:shd w:val="clear" w:color="auto" w:fill="FFFFFF"/>
        <w:spacing w:after="0"/>
        <w:jc w:val="both"/>
        <w:rPr>
          <w:rFonts w:eastAsia="Tahoma" w:cs="Times New Roman"/>
          <w:bCs/>
          <w:sz w:val="24"/>
          <w:szCs w:val="24"/>
        </w:rPr>
      </w:pPr>
      <w:r w:rsidRPr="00F940B3">
        <w:rPr>
          <w:rFonts w:eastAsia="Times New Roman" w:cs="Times New Roman"/>
          <w:color w:val="000000"/>
          <w:sz w:val="24"/>
          <w:szCs w:val="24"/>
          <w:lang w:eastAsia="ru-RU"/>
        </w:rPr>
        <w:t>5. Строк поставки товарів</w:t>
      </w:r>
      <w:r w:rsidR="00F53F45">
        <w:rPr>
          <w:rFonts w:eastAsia="Tahoma" w:cs="Times New Roman"/>
          <w:bCs/>
          <w:sz w:val="24"/>
          <w:szCs w:val="24"/>
        </w:rPr>
        <w:t>:</w:t>
      </w:r>
      <w:r w:rsidR="00A10E26">
        <w:rPr>
          <w:rFonts w:eastAsia="Tahoma" w:cs="Times New Roman"/>
          <w:bCs/>
          <w:sz w:val="24"/>
          <w:szCs w:val="24"/>
        </w:rPr>
        <w:t xml:space="preserve"> </w:t>
      </w:r>
      <w:r w:rsidR="00A10E26" w:rsidRPr="001E33EC">
        <w:rPr>
          <w:rFonts w:cs="Times New Roman"/>
          <w:b/>
          <w:color w:val="000000"/>
          <w:sz w:val="24"/>
          <w:szCs w:val="24"/>
        </w:rPr>
        <w:t xml:space="preserve">з дати підписання </w:t>
      </w:r>
      <w:r w:rsidR="00A10E26">
        <w:rPr>
          <w:rFonts w:cs="Times New Roman"/>
          <w:b/>
          <w:color w:val="000000"/>
          <w:sz w:val="24"/>
          <w:szCs w:val="24"/>
        </w:rPr>
        <w:t xml:space="preserve">договору </w:t>
      </w:r>
      <w:r w:rsidR="00A10E26" w:rsidRPr="001E33EC">
        <w:rPr>
          <w:rFonts w:cs="Times New Roman"/>
          <w:b/>
          <w:color w:val="000000"/>
          <w:sz w:val="24"/>
          <w:szCs w:val="24"/>
        </w:rPr>
        <w:t xml:space="preserve">уповноваженими представниками Сторін та скріплення їх підписів </w:t>
      </w:r>
      <w:r w:rsidR="00A10E26">
        <w:rPr>
          <w:rFonts w:cs="Times New Roman"/>
          <w:b/>
          <w:color w:val="000000"/>
          <w:sz w:val="24"/>
          <w:szCs w:val="24"/>
        </w:rPr>
        <w:t>печатками та діє до 31.12</w:t>
      </w:r>
      <w:r w:rsidR="00A10E26" w:rsidRPr="001E33EC">
        <w:rPr>
          <w:rFonts w:cs="Times New Roman"/>
          <w:b/>
          <w:color w:val="000000"/>
          <w:sz w:val="24"/>
          <w:szCs w:val="24"/>
        </w:rPr>
        <w:t>.2024 року</w:t>
      </w:r>
      <w:r w:rsidR="00A10E26" w:rsidRPr="000801E9">
        <w:rPr>
          <w:rFonts w:cs="Times New Roman"/>
          <w:b/>
          <w:color w:val="000000"/>
          <w:sz w:val="24"/>
          <w:szCs w:val="24"/>
        </w:rPr>
        <w:t xml:space="preserve"> (включно)</w:t>
      </w:r>
      <w:r w:rsidR="005B79F2">
        <w:rPr>
          <w:rFonts w:eastAsia="Tahoma" w:cs="Times New Roman"/>
          <w:bCs/>
          <w:sz w:val="24"/>
          <w:szCs w:val="24"/>
        </w:rPr>
        <w:t>.</w:t>
      </w:r>
    </w:p>
    <w:p w:rsidR="000801E9" w:rsidRPr="000801E9" w:rsidRDefault="00A10E43" w:rsidP="000801E9">
      <w:pPr>
        <w:shd w:val="clear" w:color="auto" w:fill="FFFFFF"/>
        <w:spacing w:after="0"/>
        <w:jc w:val="both"/>
        <w:rPr>
          <w:rFonts w:cs="Times New Roman"/>
          <w:b/>
          <w:color w:val="000000"/>
          <w:sz w:val="24"/>
          <w:szCs w:val="24"/>
        </w:rPr>
      </w:pPr>
      <w:r w:rsidRPr="008C0E03">
        <w:rPr>
          <w:rFonts w:eastAsia="Tahoma" w:cs="Times New Roman"/>
          <w:bCs/>
          <w:sz w:val="24"/>
          <w:szCs w:val="24"/>
        </w:rPr>
        <w:lastRenderedPageBreak/>
        <w:t xml:space="preserve">Строк поставки Товару </w:t>
      </w:r>
      <w:r>
        <w:rPr>
          <w:rFonts w:eastAsia="Tahoma" w:cs="Times New Roman"/>
          <w:bCs/>
          <w:sz w:val="24"/>
          <w:szCs w:val="24"/>
        </w:rPr>
        <w:t>17 (сімнадцять) календарних днів</w:t>
      </w:r>
      <w:r w:rsidRPr="008C0E03">
        <w:rPr>
          <w:rFonts w:eastAsia="Tahoma" w:cs="Times New Roman"/>
          <w:bCs/>
          <w:sz w:val="24"/>
          <w:szCs w:val="24"/>
        </w:rPr>
        <w:t xml:space="preserve"> з дня отримання заявки Замовника на електронну чи поштову адресу.</w:t>
      </w:r>
    </w:p>
    <w:p w:rsidR="00EF1591" w:rsidRPr="00F940B3" w:rsidRDefault="00F9404B" w:rsidP="00F9404B">
      <w:pPr>
        <w:shd w:val="clear" w:color="auto" w:fill="FFFFFF"/>
        <w:spacing w:after="0"/>
        <w:jc w:val="both"/>
        <w:rPr>
          <w:rFonts w:cs="Times New Roman"/>
          <w:b/>
          <w:color w:val="000000"/>
          <w:sz w:val="24"/>
          <w:szCs w:val="24"/>
        </w:rPr>
      </w:pPr>
      <w:r w:rsidRPr="00D1152B">
        <w:rPr>
          <w:rFonts w:eastAsia="Times New Roman" w:cs="Times New Roman"/>
          <w:color w:val="000000"/>
          <w:sz w:val="24"/>
          <w:szCs w:val="24"/>
          <w:lang w:eastAsia="ru-RU"/>
        </w:rPr>
        <w:t>6. Кінцевий строк подання тендерних пропозицій</w:t>
      </w:r>
      <w:bookmarkStart w:id="6" w:name="n661"/>
      <w:bookmarkEnd w:id="6"/>
      <w:r w:rsidR="00D7589B" w:rsidRPr="00D1152B">
        <w:rPr>
          <w:rFonts w:eastAsia="Times New Roman" w:cs="Times New Roman"/>
          <w:color w:val="000000"/>
          <w:sz w:val="24"/>
          <w:szCs w:val="24"/>
          <w:lang w:eastAsia="ru-RU"/>
        </w:rPr>
        <w:t>:</w:t>
      </w:r>
      <w:r w:rsidR="00D7589B" w:rsidRPr="00F940B3">
        <w:rPr>
          <w:rFonts w:eastAsia="Times New Roman" w:cs="Times New Roman"/>
          <w:color w:val="000000"/>
          <w:sz w:val="24"/>
          <w:szCs w:val="24"/>
          <w:lang w:eastAsia="ru-RU"/>
        </w:rPr>
        <w:t xml:space="preserve"> </w:t>
      </w:r>
      <w:r w:rsidR="00320883" w:rsidRPr="00564776">
        <w:rPr>
          <w:rFonts w:eastAsia="Times New Roman" w:cs="Times New Roman"/>
          <w:b/>
          <w:color w:val="000000"/>
          <w:sz w:val="24"/>
          <w:szCs w:val="24"/>
          <w:lang w:eastAsia="ru-RU"/>
        </w:rPr>
        <w:t xml:space="preserve"> </w:t>
      </w:r>
      <w:r w:rsidR="005B79F2" w:rsidRPr="005B79F2">
        <w:rPr>
          <w:rFonts w:eastAsia="Times New Roman" w:cs="Times New Roman"/>
          <w:b/>
          <w:color w:val="000000"/>
          <w:sz w:val="24"/>
          <w:szCs w:val="24"/>
          <w:lang w:eastAsia="ru-RU"/>
        </w:rPr>
        <w:t>06</w:t>
      </w:r>
      <w:r w:rsidR="00EE3986" w:rsidRPr="005B79F2">
        <w:rPr>
          <w:rFonts w:eastAsia="Times New Roman" w:cs="Times New Roman"/>
          <w:b/>
          <w:color w:val="000000"/>
          <w:sz w:val="24"/>
          <w:szCs w:val="24"/>
          <w:lang w:eastAsia="ru-RU"/>
        </w:rPr>
        <w:t xml:space="preserve"> </w:t>
      </w:r>
      <w:r w:rsidR="005B79F2" w:rsidRPr="005B79F2">
        <w:rPr>
          <w:rFonts w:eastAsia="Times New Roman" w:cs="Times New Roman"/>
          <w:b/>
          <w:color w:val="000000"/>
          <w:sz w:val="24"/>
          <w:szCs w:val="24"/>
          <w:lang w:eastAsia="ru-RU"/>
        </w:rPr>
        <w:t>травня</w:t>
      </w:r>
      <w:r w:rsidR="00436CA6" w:rsidRPr="005B79F2">
        <w:rPr>
          <w:rFonts w:cs="Times New Roman"/>
          <w:b/>
          <w:sz w:val="24"/>
          <w:szCs w:val="24"/>
        </w:rPr>
        <w:t xml:space="preserve"> 2024</w:t>
      </w:r>
      <w:r w:rsidRPr="005B79F2">
        <w:rPr>
          <w:rFonts w:cs="Times New Roman"/>
          <w:b/>
          <w:color w:val="000000"/>
          <w:sz w:val="24"/>
          <w:szCs w:val="24"/>
        </w:rPr>
        <w:t xml:space="preserve"> р</w:t>
      </w:r>
      <w:r w:rsidRPr="00DB7196">
        <w:rPr>
          <w:rFonts w:cs="Times New Roman"/>
          <w:b/>
          <w:color w:val="000000"/>
          <w:sz w:val="24"/>
          <w:szCs w:val="24"/>
        </w:rPr>
        <w:t>.</w:t>
      </w:r>
      <w:r w:rsidRPr="00F940B3">
        <w:rPr>
          <w:rFonts w:cs="Times New Roman"/>
          <w:b/>
          <w:color w:val="000000"/>
          <w:sz w:val="24"/>
          <w:szCs w:val="24"/>
        </w:rPr>
        <w:t xml:space="preserve"> Кінцевий час подання пропозицій електрона система встановлює автоматично.</w:t>
      </w:r>
    </w:p>
    <w:p w:rsidR="00EF1591" w:rsidRPr="00F940B3" w:rsidRDefault="00EF1591" w:rsidP="00F9404B">
      <w:pPr>
        <w:shd w:val="clear" w:color="auto" w:fill="FFFFFF"/>
        <w:spacing w:after="0"/>
        <w:jc w:val="both"/>
        <w:rPr>
          <w:rFonts w:cs="Times New Roman"/>
          <w:b/>
          <w:color w:val="000000"/>
          <w:sz w:val="24"/>
          <w:szCs w:val="24"/>
        </w:rPr>
      </w:pPr>
    </w:p>
    <w:p w:rsidR="00F9404B" w:rsidRPr="00F940B3" w:rsidRDefault="00F9404B" w:rsidP="00F9404B">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7. Умови оплати: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544"/>
        <w:gridCol w:w="1701"/>
        <w:gridCol w:w="1134"/>
        <w:gridCol w:w="1134"/>
        <w:gridCol w:w="850"/>
      </w:tblGrid>
      <w:tr w:rsidR="00F9404B" w:rsidRPr="00F940B3" w:rsidTr="00A10E43">
        <w:trPr>
          <w:trHeight w:val="1281"/>
        </w:trPr>
        <w:tc>
          <w:tcPr>
            <w:tcW w:w="1418" w:type="dxa"/>
            <w:vAlign w:val="center"/>
            <w:hideMark/>
          </w:tcPr>
          <w:p w:rsidR="00F9404B" w:rsidRPr="00F940B3" w:rsidRDefault="00F9404B" w:rsidP="00366CF9">
            <w:pPr>
              <w:spacing w:after="0"/>
              <w:jc w:val="center"/>
              <w:rPr>
                <w:b/>
                <w:bCs/>
                <w:color w:val="000000"/>
                <w:sz w:val="24"/>
                <w:szCs w:val="24"/>
              </w:rPr>
            </w:pPr>
            <w:bookmarkStart w:id="7" w:name="_Hlk15297878"/>
            <w:r w:rsidRPr="00F940B3">
              <w:rPr>
                <w:b/>
                <w:bCs/>
                <w:sz w:val="24"/>
                <w:szCs w:val="24"/>
              </w:rPr>
              <w:t>Подія</w:t>
            </w:r>
          </w:p>
        </w:tc>
        <w:tc>
          <w:tcPr>
            <w:tcW w:w="3544" w:type="dxa"/>
            <w:vAlign w:val="center"/>
            <w:hideMark/>
          </w:tcPr>
          <w:p w:rsidR="00F9404B" w:rsidRPr="00F940B3" w:rsidRDefault="00F9404B" w:rsidP="00366CF9">
            <w:pPr>
              <w:spacing w:after="0"/>
              <w:ind w:firstLine="709"/>
              <w:jc w:val="center"/>
              <w:rPr>
                <w:b/>
                <w:bCs/>
                <w:color w:val="000000"/>
                <w:sz w:val="24"/>
                <w:szCs w:val="24"/>
              </w:rPr>
            </w:pPr>
            <w:r w:rsidRPr="00F940B3">
              <w:rPr>
                <w:b/>
                <w:bCs/>
                <w:sz w:val="24"/>
                <w:szCs w:val="24"/>
              </w:rPr>
              <w:t>Опис</w:t>
            </w:r>
          </w:p>
        </w:tc>
        <w:tc>
          <w:tcPr>
            <w:tcW w:w="1701" w:type="dxa"/>
            <w:vAlign w:val="center"/>
            <w:hideMark/>
          </w:tcPr>
          <w:p w:rsidR="00F9404B" w:rsidRPr="00F940B3" w:rsidRDefault="00F9404B" w:rsidP="00366CF9">
            <w:pPr>
              <w:spacing w:after="0"/>
              <w:jc w:val="center"/>
              <w:rPr>
                <w:b/>
                <w:bCs/>
                <w:color w:val="000000"/>
                <w:sz w:val="24"/>
                <w:szCs w:val="24"/>
              </w:rPr>
            </w:pPr>
            <w:r w:rsidRPr="00F940B3">
              <w:rPr>
                <w:b/>
                <w:bCs/>
                <w:sz w:val="24"/>
                <w:szCs w:val="24"/>
              </w:rPr>
              <w:t>Тип оплати</w:t>
            </w:r>
          </w:p>
        </w:tc>
        <w:tc>
          <w:tcPr>
            <w:tcW w:w="1134" w:type="dxa"/>
            <w:vAlign w:val="center"/>
            <w:hideMark/>
          </w:tcPr>
          <w:p w:rsidR="00F9404B" w:rsidRPr="00F940B3" w:rsidRDefault="00F9404B" w:rsidP="00366CF9">
            <w:pPr>
              <w:autoSpaceDE w:val="0"/>
              <w:autoSpaceDN w:val="0"/>
              <w:adjustRightInd w:val="0"/>
              <w:spacing w:after="0"/>
              <w:jc w:val="center"/>
              <w:rPr>
                <w:b/>
                <w:bCs/>
                <w:sz w:val="24"/>
                <w:szCs w:val="24"/>
              </w:rPr>
            </w:pPr>
            <w:r w:rsidRPr="00F940B3">
              <w:rPr>
                <w:b/>
                <w:bCs/>
                <w:sz w:val="24"/>
                <w:szCs w:val="24"/>
              </w:rPr>
              <w:t>Період,</w:t>
            </w:r>
          </w:p>
          <w:p w:rsidR="00F9404B" w:rsidRPr="00F940B3" w:rsidRDefault="00F9404B" w:rsidP="00366CF9">
            <w:pPr>
              <w:spacing w:after="0"/>
              <w:jc w:val="center"/>
              <w:rPr>
                <w:b/>
                <w:bCs/>
                <w:color w:val="000000"/>
                <w:sz w:val="24"/>
                <w:szCs w:val="24"/>
              </w:rPr>
            </w:pPr>
            <w:r w:rsidRPr="00F940B3">
              <w:rPr>
                <w:b/>
                <w:bCs/>
                <w:sz w:val="24"/>
                <w:szCs w:val="24"/>
              </w:rPr>
              <w:t>(днів)</w:t>
            </w:r>
          </w:p>
        </w:tc>
        <w:tc>
          <w:tcPr>
            <w:tcW w:w="1134" w:type="dxa"/>
            <w:vAlign w:val="center"/>
            <w:hideMark/>
          </w:tcPr>
          <w:p w:rsidR="00F9404B" w:rsidRPr="00F940B3" w:rsidRDefault="00F9404B" w:rsidP="00366CF9">
            <w:pPr>
              <w:autoSpaceDE w:val="0"/>
              <w:autoSpaceDN w:val="0"/>
              <w:adjustRightInd w:val="0"/>
              <w:spacing w:after="0"/>
              <w:jc w:val="center"/>
              <w:rPr>
                <w:b/>
                <w:bCs/>
                <w:sz w:val="24"/>
                <w:szCs w:val="24"/>
              </w:rPr>
            </w:pPr>
            <w:r w:rsidRPr="00F940B3">
              <w:rPr>
                <w:b/>
                <w:bCs/>
                <w:sz w:val="24"/>
                <w:szCs w:val="24"/>
              </w:rPr>
              <w:t>Тип</w:t>
            </w:r>
          </w:p>
          <w:p w:rsidR="00F9404B" w:rsidRPr="00F940B3" w:rsidRDefault="00F9404B" w:rsidP="00366CF9">
            <w:pPr>
              <w:spacing w:after="0"/>
              <w:jc w:val="center"/>
              <w:rPr>
                <w:b/>
                <w:bCs/>
                <w:color w:val="000000"/>
                <w:sz w:val="24"/>
                <w:szCs w:val="24"/>
              </w:rPr>
            </w:pPr>
            <w:r w:rsidRPr="00F940B3">
              <w:rPr>
                <w:b/>
                <w:bCs/>
                <w:sz w:val="24"/>
                <w:szCs w:val="24"/>
              </w:rPr>
              <w:t>днів</w:t>
            </w:r>
          </w:p>
        </w:tc>
        <w:tc>
          <w:tcPr>
            <w:tcW w:w="850" w:type="dxa"/>
            <w:vAlign w:val="center"/>
            <w:hideMark/>
          </w:tcPr>
          <w:p w:rsidR="00F9404B" w:rsidRPr="00F940B3" w:rsidRDefault="00F9404B" w:rsidP="00366CF9">
            <w:pPr>
              <w:autoSpaceDE w:val="0"/>
              <w:autoSpaceDN w:val="0"/>
              <w:adjustRightInd w:val="0"/>
              <w:spacing w:after="0"/>
              <w:jc w:val="center"/>
              <w:rPr>
                <w:b/>
                <w:bCs/>
                <w:sz w:val="24"/>
                <w:szCs w:val="24"/>
              </w:rPr>
            </w:pPr>
            <w:r w:rsidRPr="00F940B3">
              <w:rPr>
                <w:b/>
                <w:bCs/>
                <w:sz w:val="24"/>
                <w:szCs w:val="24"/>
              </w:rPr>
              <w:t>Розмір</w:t>
            </w:r>
          </w:p>
          <w:p w:rsidR="00F9404B" w:rsidRPr="00366CF9" w:rsidRDefault="00F9404B" w:rsidP="00366CF9">
            <w:pPr>
              <w:autoSpaceDE w:val="0"/>
              <w:autoSpaceDN w:val="0"/>
              <w:adjustRightInd w:val="0"/>
              <w:spacing w:after="0"/>
              <w:jc w:val="center"/>
              <w:rPr>
                <w:b/>
                <w:bCs/>
                <w:sz w:val="24"/>
                <w:szCs w:val="24"/>
              </w:rPr>
            </w:pPr>
            <w:r w:rsidRPr="00F940B3">
              <w:rPr>
                <w:b/>
                <w:bCs/>
                <w:sz w:val="24"/>
                <w:szCs w:val="24"/>
              </w:rPr>
              <w:t>оплати,</w:t>
            </w:r>
            <w:r w:rsidR="00366CF9">
              <w:rPr>
                <w:b/>
                <w:bCs/>
                <w:sz w:val="24"/>
                <w:szCs w:val="24"/>
              </w:rPr>
              <w:t xml:space="preserve"> </w:t>
            </w:r>
            <w:r w:rsidRPr="00F940B3">
              <w:rPr>
                <w:b/>
                <w:bCs/>
                <w:sz w:val="24"/>
                <w:szCs w:val="24"/>
              </w:rPr>
              <w:t>(%)</w:t>
            </w:r>
          </w:p>
        </w:tc>
      </w:tr>
      <w:tr w:rsidR="00B026B2" w:rsidRPr="00F940B3" w:rsidTr="00A10E43">
        <w:trPr>
          <w:cantSplit/>
          <w:trHeight w:val="2315"/>
        </w:trPr>
        <w:tc>
          <w:tcPr>
            <w:tcW w:w="1418" w:type="dxa"/>
            <w:vAlign w:val="center"/>
            <w:hideMark/>
          </w:tcPr>
          <w:p w:rsidR="00B026B2" w:rsidRPr="00F940B3" w:rsidRDefault="00653739" w:rsidP="00366CF9">
            <w:pPr>
              <w:tabs>
                <w:tab w:val="left" w:pos="1134"/>
              </w:tabs>
              <w:spacing w:after="0"/>
              <w:jc w:val="center"/>
              <w:textAlignment w:val="top"/>
              <w:rPr>
                <w:rFonts w:eastAsia="Tahoma"/>
                <w:color w:val="000000"/>
                <w:sz w:val="24"/>
                <w:szCs w:val="24"/>
              </w:rPr>
            </w:pPr>
            <w:r>
              <w:rPr>
                <w:rFonts w:eastAsia="Tahoma" w:cs="Times New Roman"/>
                <w:sz w:val="24"/>
                <w:szCs w:val="24"/>
              </w:rPr>
              <w:t>Поставка Товару</w:t>
            </w:r>
          </w:p>
        </w:tc>
        <w:tc>
          <w:tcPr>
            <w:tcW w:w="3544" w:type="dxa"/>
            <w:vAlign w:val="center"/>
            <w:hideMark/>
          </w:tcPr>
          <w:p w:rsidR="00A10E43" w:rsidRDefault="00A10E43" w:rsidP="00E61B10">
            <w:pPr>
              <w:pStyle w:val="a4"/>
              <w:tabs>
                <w:tab w:val="left" w:pos="851"/>
                <w:tab w:val="left" w:pos="993"/>
                <w:tab w:val="left" w:pos="1418"/>
                <w:tab w:val="left" w:pos="1701"/>
              </w:tabs>
              <w:spacing w:after="0" w:line="240" w:lineRule="auto"/>
              <w:ind w:left="34" w:right="283"/>
              <w:jc w:val="both"/>
              <w:textAlignment w:val="top"/>
              <w:rPr>
                <w:rFonts w:ascii="Times New Roman" w:eastAsia="Tahoma" w:hAnsi="Times New Roman"/>
                <w:color w:val="000000"/>
                <w:sz w:val="24"/>
                <w:szCs w:val="24"/>
              </w:rPr>
            </w:pPr>
            <w:r w:rsidRPr="00423B7E">
              <w:rPr>
                <w:rFonts w:ascii="Times New Roman" w:eastAsia="Tahoma" w:hAnsi="Times New Roman"/>
                <w:color w:val="000000"/>
                <w:sz w:val="24"/>
                <w:szCs w:val="24"/>
              </w:rPr>
              <w:t xml:space="preserve">Оплата за Товар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протягом </w:t>
            </w:r>
            <w:r w:rsidRPr="00F124FD">
              <w:rPr>
                <w:rFonts w:ascii="Times New Roman" w:eastAsia="Tahoma" w:hAnsi="Times New Roman"/>
                <w:color w:val="000000"/>
                <w:sz w:val="24"/>
                <w:szCs w:val="24"/>
              </w:rPr>
              <w:t>60-ти календарних днів з моменту поставки партії Товару.</w:t>
            </w:r>
          </w:p>
          <w:p w:rsidR="00B026B2" w:rsidRPr="00F940B3" w:rsidRDefault="00B026B2" w:rsidP="00366CF9">
            <w:pPr>
              <w:tabs>
                <w:tab w:val="left" w:pos="1134"/>
              </w:tabs>
              <w:spacing w:after="0"/>
              <w:jc w:val="both"/>
              <w:textAlignment w:val="top"/>
              <w:rPr>
                <w:rFonts w:eastAsia="Tahoma"/>
                <w:color w:val="000000"/>
                <w:sz w:val="24"/>
                <w:szCs w:val="24"/>
              </w:rPr>
            </w:pPr>
          </w:p>
        </w:tc>
        <w:tc>
          <w:tcPr>
            <w:tcW w:w="1701" w:type="dxa"/>
            <w:vAlign w:val="center"/>
            <w:hideMark/>
          </w:tcPr>
          <w:p w:rsidR="00B026B2" w:rsidRPr="00F940B3" w:rsidRDefault="00B026B2" w:rsidP="00366CF9">
            <w:pPr>
              <w:spacing w:after="0"/>
              <w:rPr>
                <w:sz w:val="24"/>
                <w:szCs w:val="24"/>
              </w:rPr>
            </w:pPr>
            <w:r w:rsidRPr="00F940B3">
              <w:rPr>
                <w:bCs/>
                <w:sz w:val="24"/>
                <w:szCs w:val="24"/>
                <w:shd w:val="clear" w:color="auto" w:fill="FFFFFF"/>
              </w:rPr>
              <w:t>Післяплата</w:t>
            </w:r>
          </w:p>
        </w:tc>
        <w:tc>
          <w:tcPr>
            <w:tcW w:w="1134" w:type="dxa"/>
            <w:vAlign w:val="center"/>
            <w:hideMark/>
          </w:tcPr>
          <w:p w:rsidR="00B026B2" w:rsidRPr="00F940B3" w:rsidRDefault="00A10E43" w:rsidP="00366CF9">
            <w:pPr>
              <w:spacing w:after="0"/>
              <w:jc w:val="center"/>
              <w:rPr>
                <w:bCs/>
                <w:color w:val="000000"/>
                <w:sz w:val="24"/>
                <w:szCs w:val="24"/>
              </w:rPr>
            </w:pPr>
            <w:r>
              <w:rPr>
                <w:bCs/>
                <w:color w:val="000000"/>
                <w:sz w:val="24"/>
                <w:szCs w:val="24"/>
              </w:rPr>
              <w:t>60</w:t>
            </w:r>
          </w:p>
        </w:tc>
        <w:tc>
          <w:tcPr>
            <w:tcW w:w="1134" w:type="dxa"/>
            <w:textDirection w:val="btLr"/>
            <w:vAlign w:val="center"/>
            <w:hideMark/>
          </w:tcPr>
          <w:p w:rsidR="00B026B2" w:rsidRPr="00F940B3" w:rsidRDefault="00B026B2" w:rsidP="00366CF9">
            <w:pPr>
              <w:spacing w:after="0"/>
              <w:jc w:val="center"/>
              <w:rPr>
                <w:bCs/>
                <w:color w:val="000000"/>
                <w:sz w:val="24"/>
                <w:szCs w:val="24"/>
              </w:rPr>
            </w:pPr>
            <w:r w:rsidRPr="00F940B3">
              <w:rPr>
                <w:rFonts w:eastAsia="Tahoma" w:cs="Times New Roman"/>
                <w:color w:val="000000"/>
                <w:sz w:val="24"/>
                <w:szCs w:val="24"/>
              </w:rPr>
              <w:t>Календарних днів</w:t>
            </w:r>
          </w:p>
        </w:tc>
        <w:tc>
          <w:tcPr>
            <w:tcW w:w="850" w:type="dxa"/>
            <w:vAlign w:val="center"/>
            <w:hideMark/>
          </w:tcPr>
          <w:p w:rsidR="00B026B2" w:rsidRPr="00F940B3" w:rsidRDefault="00B026B2" w:rsidP="00366CF9">
            <w:pPr>
              <w:spacing w:after="0"/>
              <w:jc w:val="center"/>
              <w:rPr>
                <w:b/>
                <w:bCs/>
                <w:color w:val="000000"/>
                <w:sz w:val="24"/>
                <w:szCs w:val="24"/>
              </w:rPr>
            </w:pPr>
            <w:r w:rsidRPr="00F940B3">
              <w:rPr>
                <w:sz w:val="24"/>
                <w:szCs w:val="24"/>
              </w:rPr>
              <w:t>10</w:t>
            </w:r>
            <w:r w:rsidR="00AB10DE" w:rsidRPr="00F940B3">
              <w:rPr>
                <w:sz w:val="24"/>
                <w:szCs w:val="24"/>
              </w:rPr>
              <w:t>0</w:t>
            </w:r>
          </w:p>
        </w:tc>
      </w:tr>
    </w:tbl>
    <w:p w:rsidR="001B0397" w:rsidRPr="00F940B3" w:rsidRDefault="001B0397" w:rsidP="00F9404B">
      <w:pPr>
        <w:shd w:val="clear" w:color="auto" w:fill="FFFFFF"/>
        <w:spacing w:after="0"/>
        <w:jc w:val="both"/>
        <w:rPr>
          <w:rFonts w:eastAsia="Times New Roman" w:cs="Times New Roman"/>
          <w:color w:val="000000"/>
          <w:sz w:val="24"/>
          <w:szCs w:val="24"/>
          <w:lang w:eastAsia="ru-RU"/>
        </w:rPr>
      </w:pPr>
      <w:bookmarkStart w:id="8" w:name="n662"/>
      <w:bookmarkEnd w:id="7"/>
      <w:bookmarkEnd w:id="8"/>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8. Мова (мови), якою (якими) повинні готуватися тендерні пропозиції: </w:t>
      </w:r>
      <w:r w:rsidRPr="00F940B3">
        <w:rPr>
          <w:rFonts w:eastAsia="Times New Roman" w:cs="Times New Roman"/>
          <w:b/>
          <w:color w:val="000000"/>
          <w:sz w:val="24"/>
          <w:szCs w:val="24"/>
          <w:lang w:eastAsia="ru-RU"/>
        </w:rPr>
        <w:t>Мова тендерної пропозиції – українська.</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Виключення:</w:t>
      </w:r>
    </w:p>
    <w:p w:rsidR="00F9404B"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Pr="00F940B3" w:rsidRDefault="00F9404B" w:rsidP="00F9404B">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sidRPr="00F940B3">
        <w:rPr>
          <w:rFonts w:eastAsia="Times New Roman" w:cs="Times New Roman"/>
          <w:b/>
          <w:color w:val="000000"/>
          <w:sz w:val="24"/>
          <w:szCs w:val="24"/>
          <w:lang w:eastAsia="ru-RU"/>
        </w:rPr>
        <w:t>ів відповідає встановленій вимоз</w:t>
      </w:r>
      <w:r w:rsidRPr="00F940B3">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700E44" w:rsidRPr="0039350D" w:rsidRDefault="00F9404B" w:rsidP="00180CC0">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lastRenderedPageBreak/>
        <w:t xml:space="preserve">9. Розмір, вид та умови надання </w:t>
      </w:r>
      <w:r w:rsidRPr="0039350D">
        <w:rPr>
          <w:rFonts w:eastAsia="Times New Roman" w:cs="Times New Roman"/>
          <w:color w:val="000000"/>
          <w:sz w:val="24"/>
          <w:szCs w:val="24"/>
          <w:lang w:eastAsia="ru-RU"/>
        </w:rPr>
        <w:t xml:space="preserve">забезпечення тендерних пропозицій: </w:t>
      </w:r>
      <w:r w:rsidR="009F7B77" w:rsidRPr="0039350D">
        <w:rPr>
          <w:rFonts w:eastAsia="Times New Roman" w:cs="Times New Roman"/>
          <w:b/>
          <w:color w:val="000000"/>
          <w:sz w:val="24"/>
          <w:szCs w:val="24"/>
          <w:lang w:eastAsia="ru-RU"/>
        </w:rPr>
        <w:t>Вимагається</w:t>
      </w:r>
      <w:r w:rsidR="00DB7196" w:rsidRPr="0039350D">
        <w:rPr>
          <w:rFonts w:eastAsia="Times New Roman" w:cs="Times New Roman"/>
          <w:b/>
          <w:color w:val="000000"/>
          <w:sz w:val="24"/>
          <w:szCs w:val="24"/>
          <w:lang w:eastAsia="ru-RU"/>
        </w:rPr>
        <w:t>.</w:t>
      </w:r>
    </w:p>
    <w:p w:rsidR="001C40D0" w:rsidRPr="00ED7311" w:rsidRDefault="001C40D0" w:rsidP="001C40D0">
      <w:pPr>
        <w:shd w:val="clear" w:color="auto" w:fill="FFFFFF"/>
        <w:spacing w:before="120"/>
        <w:jc w:val="both"/>
        <w:rPr>
          <w:rFonts w:eastAsia="Times New Roman" w:cs="Times New Roman"/>
          <w:strike/>
          <w:sz w:val="24"/>
          <w:szCs w:val="24"/>
        </w:rPr>
      </w:pPr>
      <w:r w:rsidRPr="00ED7311">
        <w:rPr>
          <w:rFonts w:eastAsia="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1C40D0" w:rsidRPr="00ED7311" w:rsidRDefault="001C40D0" w:rsidP="001C40D0">
      <w:pPr>
        <w:ind w:right="120"/>
        <w:jc w:val="both"/>
        <w:rPr>
          <w:rFonts w:eastAsia="Times New Roman" w:cs="Times New Roman"/>
          <w:sz w:val="24"/>
          <w:szCs w:val="24"/>
        </w:rPr>
      </w:pPr>
      <w:r w:rsidRPr="00ED7311">
        <w:rPr>
          <w:rFonts w:eastAsia="Times New Roman" w:cs="Times New Roman"/>
          <w:sz w:val="24"/>
          <w:szCs w:val="24"/>
        </w:rPr>
        <w:t xml:space="preserve">Гарантія надається за формою (далі — Форма), наведеною в </w:t>
      </w:r>
      <w:r w:rsidRPr="00ED7311">
        <w:rPr>
          <w:rFonts w:eastAsia="Times New Roman" w:cs="Times New Roman"/>
          <w:b/>
          <w:i/>
          <w:sz w:val="24"/>
          <w:szCs w:val="24"/>
        </w:rPr>
        <w:t>Додатку 1</w:t>
      </w:r>
      <w:r w:rsidRPr="00ED7311">
        <w:rPr>
          <w:rFonts w:eastAsia="Times New Roman" w:cs="Times New Roman"/>
          <w:sz w:val="24"/>
          <w:szCs w:val="24"/>
        </w:rPr>
        <w:t xml:space="preserve"> до цієї Тендерної документації з урахуванням умов, викладених в даному пункті. </w:t>
      </w:r>
      <w:r w:rsidRPr="00ED7311">
        <w:rPr>
          <w:rFonts w:eastAsia="Times New Roman" w:cs="Times New Roman"/>
          <w:b/>
          <w:sz w:val="24"/>
          <w:szCs w:val="24"/>
        </w:rPr>
        <w:t>Учасникам заборонено відступати від форми гарантії. </w:t>
      </w:r>
    </w:p>
    <w:p w:rsidR="001C40D0" w:rsidRPr="00ED7311" w:rsidRDefault="001C40D0" w:rsidP="001C40D0">
      <w:pPr>
        <w:jc w:val="both"/>
        <w:rPr>
          <w:rFonts w:eastAsia="Times New Roman" w:cs="Times New Roman"/>
          <w:sz w:val="24"/>
          <w:szCs w:val="24"/>
        </w:rPr>
      </w:pPr>
      <w:r w:rsidRPr="00ED7311">
        <w:rPr>
          <w:rFonts w:eastAsia="Times New Roman" w:cs="Times New Roman"/>
          <w:b/>
          <w:sz w:val="24"/>
          <w:szCs w:val="24"/>
        </w:rPr>
        <w:t>Розмір забезпечення тендерної пропозиції:</w:t>
      </w:r>
      <w:r w:rsidRPr="00ED7311">
        <w:rPr>
          <w:rFonts w:eastAsia="Times New Roman" w:cs="Times New Roman"/>
          <w:sz w:val="24"/>
          <w:szCs w:val="24"/>
        </w:rPr>
        <w:t xml:space="preserve"> </w:t>
      </w:r>
      <w:r w:rsidR="00A10E43">
        <w:rPr>
          <w:rFonts w:eastAsia="Times New Roman" w:cs="Times New Roman"/>
          <w:i/>
          <w:sz w:val="24"/>
          <w:szCs w:val="24"/>
        </w:rPr>
        <w:t>40 000,00 грн. (</w:t>
      </w:r>
      <w:r w:rsidRPr="00ED7311">
        <w:rPr>
          <w:rFonts w:eastAsia="Times New Roman" w:cs="Times New Roman"/>
          <w:i/>
          <w:sz w:val="24"/>
          <w:szCs w:val="24"/>
        </w:rPr>
        <w:t>сорок тисяч гривень 00 копійок).</w:t>
      </w:r>
    </w:p>
    <w:p w:rsidR="001C40D0" w:rsidRPr="00ED7311" w:rsidRDefault="001C40D0" w:rsidP="001C40D0">
      <w:pPr>
        <w:jc w:val="both"/>
        <w:rPr>
          <w:rFonts w:eastAsia="Times New Roman" w:cs="Times New Roman"/>
          <w:sz w:val="24"/>
          <w:szCs w:val="24"/>
        </w:rPr>
      </w:pPr>
      <w:r w:rsidRPr="00ED7311">
        <w:rPr>
          <w:rFonts w:eastAsia="Times New Roman" w:cs="Times New Roman"/>
          <w:b/>
          <w:sz w:val="24"/>
          <w:szCs w:val="24"/>
        </w:rPr>
        <w:t xml:space="preserve">Вид забезпечення тендерної пропозиції: </w:t>
      </w:r>
      <w:r w:rsidRPr="00ED7311">
        <w:rPr>
          <w:rFonts w:eastAsia="Times New Roman" w:cs="Times New Roman"/>
          <w:i/>
          <w:sz w:val="24"/>
          <w:szCs w:val="24"/>
        </w:rPr>
        <w:t>електронна</w:t>
      </w:r>
      <w:r w:rsidRPr="00ED7311">
        <w:rPr>
          <w:rFonts w:eastAsia="Times New Roman" w:cs="Times New Roman"/>
          <w:sz w:val="21"/>
          <w:szCs w:val="21"/>
        </w:rPr>
        <w:t xml:space="preserve"> </w:t>
      </w:r>
      <w:r w:rsidRPr="00ED7311">
        <w:rPr>
          <w:rFonts w:eastAsia="Times New Roman" w:cs="Times New Roman"/>
          <w:i/>
          <w:sz w:val="24"/>
          <w:szCs w:val="24"/>
        </w:rPr>
        <w:t>банківська гарантія.</w:t>
      </w:r>
    </w:p>
    <w:p w:rsidR="001C40D0" w:rsidRPr="00ED7311" w:rsidRDefault="001C40D0" w:rsidP="001C40D0">
      <w:pPr>
        <w:spacing w:after="160" w:line="259" w:lineRule="auto"/>
        <w:jc w:val="both"/>
        <w:rPr>
          <w:rFonts w:eastAsia="Times New Roman" w:cs="Times New Roman"/>
          <w:sz w:val="24"/>
          <w:szCs w:val="24"/>
        </w:rPr>
      </w:pPr>
      <w:r w:rsidRPr="00ED7311">
        <w:rPr>
          <w:rFonts w:eastAsia="Times New Roman" w:cs="Times New Roman"/>
          <w:sz w:val="24"/>
          <w:szCs w:val="24"/>
        </w:rPr>
        <w:t>Строк дії забезпечення  тендерної пропозиції учасника (банківської гарантії) має дорівнювати або</w:t>
      </w:r>
      <w:r w:rsidRPr="00ED7311">
        <w:rPr>
          <w:rFonts w:eastAsia="Times New Roman" w:cs="Times New Roman"/>
          <w:b/>
          <w:i/>
          <w:sz w:val="24"/>
          <w:szCs w:val="24"/>
        </w:rPr>
        <w:t xml:space="preserve"> </w:t>
      </w:r>
      <w:r w:rsidRPr="00ED7311">
        <w:rPr>
          <w:rFonts w:eastAsia="Times New Roman" w:cs="Times New Roman"/>
          <w:sz w:val="24"/>
          <w:szCs w:val="24"/>
        </w:rPr>
        <w:t>перевищувати</w:t>
      </w:r>
      <w:r w:rsidRPr="00ED7311">
        <w:rPr>
          <w:rFonts w:eastAsia="Times New Roman" w:cs="Times New Roman"/>
          <w:b/>
          <w:i/>
          <w:sz w:val="24"/>
          <w:szCs w:val="24"/>
        </w:rPr>
        <w:t xml:space="preserve"> </w:t>
      </w:r>
      <w:r w:rsidRPr="00ED7311">
        <w:rPr>
          <w:rFonts w:eastAsia="Times New Roman" w:cs="Times New Roman"/>
          <w:b/>
          <w:i/>
          <w:sz w:val="24"/>
          <w:szCs w:val="24"/>
          <w:u w:val="single"/>
        </w:rPr>
        <w:t xml:space="preserve">120 (сто двадцять) </w:t>
      </w:r>
      <w:r w:rsidRPr="00ED7311">
        <w:rPr>
          <w:rFonts w:eastAsia="Times New Roman" w:cs="Times New Roman"/>
          <w:b/>
          <w:i/>
          <w:sz w:val="24"/>
          <w:szCs w:val="24"/>
        </w:rPr>
        <w:t>днів</w:t>
      </w:r>
      <w:r w:rsidRPr="00ED7311">
        <w:rPr>
          <w:rFonts w:eastAsia="Times New Roman" w:cs="Times New Roman"/>
          <w:sz w:val="24"/>
          <w:szCs w:val="24"/>
        </w:rPr>
        <w:t xml:space="preserve"> із дати кінцевого строку подання тендерних пропозицій включно.</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3. Реквізити гарантії, визначені у Формі, є обов'язковими для складання гарантії.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4. У реквізитах гарантії: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1) щодо повного найменування гаранта зазначається інформація: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код банку (у разі наявності);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адреса місцезнаходження; поштова адреса для листування;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адреса електронної пошти гаранта, на яку отримуються документи;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SWIFT-адреса гаранта;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2) щодо повного найменування принципала, яким є учасник процедури закупівлі, зазначається інформація: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повне найменування — для юридичної особи;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прізвище, ім'я та по батькові (у разі наявності) — для фізичної особи;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w:t>
      </w:r>
      <w:r w:rsidRPr="00ED7311">
        <w:rPr>
          <w:rFonts w:eastAsia="Times New Roman" w:cs="Times New Roman"/>
          <w:sz w:val="24"/>
          <w:szCs w:val="24"/>
        </w:rPr>
        <w:lastRenderedPageBreak/>
        <w:t>податків) або індивідуальний податковий номер платника податку на додану вартість (у разі відсутності паспорта);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адреса місцезнаходження;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xml:space="preserve">3) щодо повного найменування </w:t>
      </w:r>
      <w:proofErr w:type="spellStart"/>
      <w:r w:rsidRPr="00ED7311">
        <w:rPr>
          <w:rFonts w:eastAsia="Times New Roman" w:cs="Times New Roman"/>
          <w:sz w:val="24"/>
          <w:szCs w:val="24"/>
        </w:rPr>
        <w:t>бенефіціара</w:t>
      </w:r>
      <w:proofErr w:type="spellEnd"/>
      <w:r w:rsidRPr="00ED7311">
        <w:rPr>
          <w:rFonts w:eastAsia="Times New Roman" w:cs="Times New Roman"/>
          <w:sz w:val="24"/>
          <w:szCs w:val="24"/>
        </w:rPr>
        <w:t>, яким є замовник, зазначається інформація: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адреса місцезнаходження;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4) сума гарантії зазначається цифрами і словами, назва валюти — словами;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6) датою початку строку дії гарантії зазначається дата видачі гарантії або дата набрання нею чинності;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ED7311">
        <w:rPr>
          <w:rFonts w:eastAsia="Times New Roman" w:cs="Times New Roman"/>
          <w:sz w:val="24"/>
          <w:szCs w:val="24"/>
        </w:rPr>
        <w:t>вебсайт</w:t>
      </w:r>
      <w:proofErr w:type="spellEnd"/>
      <w:r w:rsidRPr="00ED7311">
        <w:rPr>
          <w:rFonts w:eastAsia="Times New Roman" w:cs="Times New Roman"/>
          <w:sz w:val="24"/>
          <w:szCs w:val="24"/>
        </w:rPr>
        <w:t xml:space="preserve"> інформаційно-телекомунікаційної системи «PROZORRO»;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9) в інформації щодо тендерної документації зазначаються: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дата рішення замовника, яким затверджена тендерна документація;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10) зазначається строк сплати коштів за гарантією;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5. Гарантія та договір, який укладається між гарантом та принципалом, не може містити додаткових умов щодо: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вимог надання третіми особами листів або документів, що підтверджують факт настання гарантійного випадку;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 можливості часткової сплати суми гарантії.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6. Гарантія, яка складається на паперовому носії, підписується уповноваженою(</w:t>
      </w:r>
      <w:proofErr w:type="spellStart"/>
      <w:r w:rsidRPr="00ED7311">
        <w:rPr>
          <w:rFonts w:eastAsia="Times New Roman" w:cs="Times New Roman"/>
          <w:sz w:val="24"/>
          <w:szCs w:val="24"/>
        </w:rPr>
        <w:t>ими</w:t>
      </w:r>
      <w:proofErr w:type="spellEnd"/>
      <w:r w:rsidRPr="00ED7311">
        <w:rPr>
          <w:rFonts w:eastAsia="Times New Roman" w:cs="Times New Roman"/>
          <w:sz w:val="24"/>
          <w:szCs w:val="24"/>
        </w:rPr>
        <w:t>) особою(</w:t>
      </w:r>
      <w:proofErr w:type="spellStart"/>
      <w:r w:rsidRPr="00ED7311">
        <w:rPr>
          <w:rFonts w:eastAsia="Times New Roman" w:cs="Times New Roman"/>
          <w:sz w:val="24"/>
          <w:szCs w:val="24"/>
        </w:rPr>
        <w:t>ами</w:t>
      </w:r>
      <w:proofErr w:type="spellEnd"/>
      <w:r w:rsidRPr="00ED7311">
        <w:rPr>
          <w:rFonts w:eastAsia="Times New Roman" w:cs="Times New Roman"/>
          <w:sz w:val="24"/>
          <w:szCs w:val="24"/>
        </w:rPr>
        <w:t>) гаранта та скріплюється печатками (у разі наявності)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t>7. Гарантія, яка надається в електронній формі, підписується шляхом накладання кваліфікованого(</w:t>
      </w:r>
      <w:proofErr w:type="spellStart"/>
      <w:r w:rsidRPr="00ED7311">
        <w:rPr>
          <w:rFonts w:eastAsia="Times New Roman" w:cs="Times New Roman"/>
          <w:sz w:val="24"/>
          <w:szCs w:val="24"/>
        </w:rPr>
        <w:t>их</w:t>
      </w:r>
      <w:proofErr w:type="spellEnd"/>
      <w:r w:rsidRPr="00ED7311">
        <w:rPr>
          <w:rFonts w:eastAsia="Times New Roman" w:cs="Times New Roman"/>
          <w:sz w:val="24"/>
          <w:szCs w:val="24"/>
        </w:rPr>
        <w:t>) електронного(</w:t>
      </w:r>
      <w:proofErr w:type="spellStart"/>
      <w:r w:rsidRPr="00ED7311">
        <w:rPr>
          <w:rFonts w:eastAsia="Times New Roman" w:cs="Times New Roman"/>
          <w:sz w:val="24"/>
          <w:szCs w:val="24"/>
        </w:rPr>
        <w:t>их</w:t>
      </w:r>
      <w:proofErr w:type="spellEnd"/>
      <w:r w:rsidRPr="00ED7311">
        <w:rPr>
          <w:rFonts w:eastAsia="Times New Roman" w:cs="Times New Roman"/>
          <w:sz w:val="24"/>
          <w:szCs w:val="24"/>
        </w:rPr>
        <w:t>) підпису(</w:t>
      </w:r>
      <w:proofErr w:type="spellStart"/>
      <w:r w:rsidRPr="00ED7311">
        <w:rPr>
          <w:rFonts w:eastAsia="Times New Roman" w:cs="Times New Roman"/>
          <w:sz w:val="24"/>
          <w:szCs w:val="24"/>
        </w:rPr>
        <w:t>ів</w:t>
      </w:r>
      <w:proofErr w:type="spellEnd"/>
      <w:r w:rsidRPr="00ED7311">
        <w:rPr>
          <w:rFonts w:eastAsia="Times New Roman" w:cs="Times New Roman"/>
          <w:sz w:val="24"/>
          <w:szCs w:val="24"/>
        </w:rPr>
        <w:t>) та кваліфікованої електронної печатки (у разі наявності), що прирівняні до власноручного підпису(</w:t>
      </w:r>
      <w:proofErr w:type="spellStart"/>
      <w:r w:rsidRPr="00ED7311">
        <w:rPr>
          <w:rFonts w:eastAsia="Times New Roman" w:cs="Times New Roman"/>
          <w:sz w:val="24"/>
          <w:szCs w:val="24"/>
        </w:rPr>
        <w:t>ів</w:t>
      </w:r>
      <w:proofErr w:type="spellEnd"/>
      <w:r w:rsidRPr="00ED7311">
        <w:rPr>
          <w:rFonts w:eastAsia="Times New Roman" w:cs="Times New Roman"/>
          <w:sz w:val="24"/>
          <w:szCs w:val="24"/>
        </w:rPr>
        <w:t>) уповноваженої(</w:t>
      </w:r>
      <w:proofErr w:type="spellStart"/>
      <w:r w:rsidRPr="00ED7311">
        <w:rPr>
          <w:rFonts w:eastAsia="Times New Roman" w:cs="Times New Roman"/>
          <w:sz w:val="24"/>
          <w:szCs w:val="24"/>
        </w:rPr>
        <w:t>их</w:t>
      </w:r>
      <w:proofErr w:type="spellEnd"/>
      <w:r w:rsidRPr="00ED7311">
        <w:rPr>
          <w:rFonts w:eastAsia="Times New Roman" w:cs="Times New Roman"/>
          <w:sz w:val="24"/>
          <w:szCs w:val="24"/>
        </w:rPr>
        <w:t>) особи(</w:t>
      </w:r>
      <w:proofErr w:type="spellStart"/>
      <w:r w:rsidRPr="00ED7311">
        <w:rPr>
          <w:rFonts w:eastAsia="Times New Roman" w:cs="Times New Roman"/>
          <w:sz w:val="24"/>
          <w:szCs w:val="24"/>
        </w:rPr>
        <w:t>іб</w:t>
      </w:r>
      <w:proofErr w:type="spellEnd"/>
      <w:r w:rsidRPr="00ED7311">
        <w:rPr>
          <w:rFonts w:eastAsia="Times New Roman" w:cs="Times New Roman"/>
          <w:sz w:val="24"/>
          <w:szCs w:val="24"/>
        </w:rPr>
        <w:t>) гаранта та його печатки відповідно. </w:t>
      </w:r>
    </w:p>
    <w:p w:rsidR="001C40D0" w:rsidRPr="00ED7311" w:rsidRDefault="001C40D0" w:rsidP="001C40D0">
      <w:pPr>
        <w:jc w:val="both"/>
        <w:rPr>
          <w:rFonts w:eastAsia="Times New Roman" w:cs="Times New Roman"/>
          <w:sz w:val="24"/>
          <w:szCs w:val="24"/>
        </w:rPr>
      </w:pPr>
      <w:r w:rsidRPr="00ED7311">
        <w:rPr>
          <w:rFonts w:eastAsia="Times New Roman" w:cs="Times New Roman"/>
          <w:sz w:val="24"/>
          <w:szCs w:val="24"/>
        </w:rPr>
        <w:lastRenderedPageBreak/>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1C40D0" w:rsidRPr="00ED7311" w:rsidRDefault="001C40D0" w:rsidP="001C40D0">
      <w:pPr>
        <w:jc w:val="both"/>
        <w:rPr>
          <w:rFonts w:eastAsia="Times New Roman" w:cs="Times New Roman"/>
          <w:i/>
          <w:sz w:val="24"/>
          <w:szCs w:val="24"/>
        </w:rPr>
      </w:pPr>
      <w:r w:rsidRPr="00ED7311">
        <w:rPr>
          <w:rFonts w:eastAsia="Times New Roman" w:cs="Times New Roman"/>
          <w:i/>
          <w:sz w:val="24"/>
          <w:szCs w:val="24"/>
        </w:rPr>
        <w:t xml:space="preserve">*Під терміном «категорія </w:t>
      </w:r>
      <w:proofErr w:type="spellStart"/>
      <w:r w:rsidRPr="00ED7311">
        <w:rPr>
          <w:rFonts w:eastAsia="Times New Roman" w:cs="Times New Roman"/>
          <w:i/>
          <w:sz w:val="24"/>
          <w:szCs w:val="24"/>
        </w:rPr>
        <w:t>бенефіціара</w:t>
      </w:r>
      <w:proofErr w:type="spellEnd"/>
      <w:r w:rsidRPr="00ED7311">
        <w:rPr>
          <w:rFonts w:eastAsia="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rsidR="001C40D0" w:rsidRDefault="001C40D0" w:rsidP="001C40D0">
      <w:pPr>
        <w:jc w:val="both"/>
        <w:rPr>
          <w:rFonts w:eastAsia="Times New Roman" w:cs="Times New Roman"/>
          <w:i/>
          <w:sz w:val="24"/>
          <w:szCs w:val="24"/>
        </w:rPr>
      </w:pPr>
      <w:r w:rsidRPr="00ED7311">
        <w:rPr>
          <w:rFonts w:eastAsia="Times New Roman" w:cs="Times New Roman"/>
          <w:i/>
          <w:sz w:val="24"/>
          <w:szCs w:val="24"/>
        </w:rPr>
        <w:t xml:space="preserve">**Цей </w:t>
      </w:r>
      <w:r>
        <w:rPr>
          <w:rFonts w:eastAsia="Times New Roman" w:cs="Times New Roman"/>
          <w:i/>
          <w:sz w:val="24"/>
          <w:szCs w:val="24"/>
        </w:rPr>
        <w:t>пункт виконується у разі встановлення вимоги щодо надання гарантії на паперовому носії.</w:t>
      </w:r>
    </w:p>
    <w:p w:rsidR="001C40D0" w:rsidRPr="00ED7311" w:rsidRDefault="001C40D0" w:rsidP="001C40D0">
      <w:pPr>
        <w:jc w:val="both"/>
        <w:rPr>
          <w:rFonts w:eastAsia="Times New Roman" w:cs="Times New Roman"/>
          <w:b/>
          <w:i/>
          <w:color w:val="4A86E8"/>
          <w:sz w:val="24"/>
          <w:szCs w:val="24"/>
        </w:rPr>
      </w:pPr>
      <w:r w:rsidRPr="00F64DEC">
        <w:rPr>
          <w:rFonts w:eastAsia="Times New Roman"/>
          <w:sz w:val="24"/>
          <w:szCs w:val="24"/>
        </w:rPr>
        <w:t xml:space="preserve">9. </w:t>
      </w:r>
      <w:r w:rsidRPr="00ED7311">
        <w:rPr>
          <w:rFonts w:eastAsia="Times New Roman" w:cs="Times New Roman"/>
          <w:b/>
          <w:sz w:val="24"/>
          <w:szCs w:val="24"/>
        </w:rPr>
        <w:t>До уваги учасників інформація для оформлення банківської гарантії:</w:t>
      </w:r>
      <w:r w:rsidRPr="00ED7311">
        <w:rPr>
          <w:rFonts w:eastAsia="Times New Roman" w:cs="Times New Roman"/>
          <w:b/>
          <w:i/>
          <w:sz w:val="24"/>
          <w:szCs w:val="24"/>
        </w:rPr>
        <w:t> </w:t>
      </w:r>
    </w:p>
    <w:p w:rsidR="001C40D0" w:rsidRPr="00F64DEC" w:rsidRDefault="001C40D0" w:rsidP="001C40D0">
      <w:pPr>
        <w:spacing w:before="150" w:after="150"/>
        <w:jc w:val="both"/>
        <w:rPr>
          <w:rFonts w:eastAsia="Times New Roman"/>
          <w:sz w:val="24"/>
          <w:szCs w:val="24"/>
        </w:rPr>
      </w:pPr>
      <w:r w:rsidRPr="00F64DEC">
        <w:rPr>
          <w:rFonts w:eastAsia="Times New Roman"/>
          <w:sz w:val="24"/>
          <w:szCs w:val="24"/>
        </w:rPr>
        <w:t>Назва Замовника: Комунальне підприємство «Одесміськелектротранс»</w:t>
      </w:r>
    </w:p>
    <w:p w:rsidR="001C40D0" w:rsidRPr="00F64DEC" w:rsidRDefault="001C40D0" w:rsidP="001C40D0">
      <w:pPr>
        <w:spacing w:before="150" w:after="150"/>
        <w:jc w:val="both"/>
        <w:rPr>
          <w:rFonts w:eastAsia="Times New Roman"/>
          <w:sz w:val="24"/>
          <w:szCs w:val="24"/>
        </w:rPr>
      </w:pPr>
      <w:r w:rsidRPr="00F64DEC">
        <w:rPr>
          <w:rFonts w:eastAsia="Times New Roman"/>
          <w:sz w:val="24"/>
          <w:szCs w:val="24"/>
        </w:rPr>
        <w:t>Місцезнаходження Замовника: 65007, м. Одеса, вул. Водопровідна,1</w:t>
      </w:r>
    </w:p>
    <w:p w:rsidR="001C40D0" w:rsidRPr="00F64DEC" w:rsidRDefault="001C40D0" w:rsidP="001C40D0">
      <w:pPr>
        <w:spacing w:before="150" w:after="150"/>
        <w:jc w:val="both"/>
        <w:rPr>
          <w:rFonts w:eastAsia="Times New Roman"/>
          <w:sz w:val="24"/>
          <w:szCs w:val="24"/>
        </w:rPr>
      </w:pPr>
      <w:r w:rsidRPr="00F64DEC">
        <w:rPr>
          <w:rFonts w:eastAsia="Times New Roman"/>
          <w:sz w:val="24"/>
          <w:szCs w:val="24"/>
        </w:rPr>
        <w:t>Код ЄДРПОУ: 03328497</w:t>
      </w:r>
    </w:p>
    <w:p w:rsidR="001C40D0" w:rsidRDefault="001C40D0" w:rsidP="001C40D0">
      <w:pPr>
        <w:spacing w:before="150" w:after="150"/>
        <w:jc w:val="both"/>
        <w:rPr>
          <w:rFonts w:eastAsia="Times New Roman"/>
          <w:sz w:val="24"/>
          <w:szCs w:val="24"/>
        </w:rPr>
      </w:pPr>
      <w:r w:rsidRPr="00F64DEC">
        <w:rPr>
          <w:rFonts w:eastAsia="Times New Roman"/>
          <w:sz w:val="24"/>
          <w:szCs w:val="24"/>
        </w:rPr>
        <w:t>АБ «УКРГАЗБАНК»,  МФО 320478, SWIFT UGASUAUK, код ЄДРПОУ 23697280, м. О</w:t>
      </w:r>
      <w:r>
        <w:rPr>
          <w:rFonts w:eastAsia="Times New Roman"/>
          <w:sz w:val="24"/>
          <w:szCs w:val="24"/>
        </w:rPr>
        <w:t>деса, вул. Пушкінська, 7, 65026</w:t>
      </w:r>
      <w:r w:rsidRPr="00F64DEC">
        <w:rPr>
          <w:rFonts w:eastAsia="Times New Roman"/>
          <w:sz w:val="24"/>
          <w:szCs w:val="24"/>
        </w:rPr>
        <w:t>.</w:t>
      </w:r>
    </w:p>
    <w:p w:rsidR="006D2245" w:rsidRPr="00F940B3" w:rsidRDefault="006D2245" w:rsidP="001C40D0">
      <w:pPr>
        <w:spacing w:before="150" w:after="15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10. Дата та час розкриття тендерних пропозицій: </w:t>
      </w:r>
      <w:r w:rsidRPr="00F940B3">
        <w:rPr>
          <w:rFonts w:eastAsia="Times New Roman" w:cs="Times New Roman"/>
          <w:b/>
          <w:color w:val="000000"/>
          <w:sz w:val="24"/>
          <w:szCs w:val="24"/>
          <w:lang w:eastAsia="ru-RU"/>
        </w:rPr>
        <w:t>заповнюється електронною системою закупівель автоматично</w:t>
      </w:r>
      <w:r w:rsidR="00B6621F" w:rsidRPr="00F940B3">
        <w:rPr>
          <w:rFonts w:eastAsia="Times New Roman" w:cs="Times New Roman"/>
          <w:b/>
          <w:color w:val="000000"/>
          <w:sz w:val="24"/>
          <w:szCs w:val="24"/>
          <w:lang w:eastAsia="ru-RU"/>
        </w:rPr>
        <w:t>.</w:t>
      </w: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r w:rsidRPr="00F940B3">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6D2245" w:rsidRPr="00F940B3" w:rsidRDefault="006D2245" w:rsidP="006D2245">
      <w:pPr>
        <w:shd w:val="clear" w:color="auto" w:fill="FFFFFF"/>
        <w:spacing w:after="0"/>
        <w:jc w:val="both"/>
        <w:rPr>
          <w:rFonts w:eastAsia="Times New Roman" w:cs="Times New Roman"/>
          <w:color w:val="000000"/>
          <w:sz w:val="24"/>
          <w:szCs w:val="24"/>
          <w:lang w:eastAsia="ru-RU"/>
        </w:rPr>
      </w:pPr>
    </w:p>
    <w:p w:rsidR="006D2245" w:rsidRPr="00F940B3" w:rsidRDefault="006D2245" w:rsidP="006D2245">
      <w:pPr>
        <w:shd w:val="clear" w:color="auto" w:fill="FFFFFF"/>
        <w:spacing w:after="0"/>
        <w:jc w:val="both"/>
        <w:rPr>
          <w:rFonts w:eastAsia="Times New Roman" w:cs="Times New Roman"/>
          <w:b/>
          <w:color w:val="000000"/>
          <w:sz w:val="24"/>
          <w:szCs w:val="24"/>
          <w:lang w:eastAsia="ru-RU"/>
        </w:rPr>
      </w:pPr>
      <w:r w:rsidRPr="00F940B3">
        <w:rPr>
          <w:rFonts w:eastAsia="Times New Roman" w:cs="Times New Roman"/>
          <w:color w:val="000000"/>
          <w:sz w:val="24"/>
          <w:szCs w:val="24"/>
          <w:lang w:eastAsia="ru-RU"/>
        </w:rPr>
        <w:t xml:space="preserve">11. Математична формула для розрахунку приведеної ціни (у разі її застосування): </w:t>
      </w:r>
      <w:r w:rsidRPr="00F940B3">
        <w:rPr>
          <w:rFonts w:eastAsia="Times New Roman" w:cs="Times New Roman"/>
          <w:b/>
          <w:color w:val="000000"/>
          <w:sz w:val="24"/>
          <w:szCs w:val="24"/>
          <w:lang w:eastAsia="ru-RU"/>
        </w:rPr>
        <w:t>не застосовується</w:t>
      </w:r>
      <w:r w:rsidR="00F625AC" w:rsidRPr="00F940B3">
        <w:rPr>
          <w:rFonts w:eastAsia="Times New Roman" w:cs="Times New Roman"/>
          <w:b/>
          <w:color w:val="000000"/>
          <w:sz w:val="24"/>
          <w:szCs w:val="24"/>
          <w:lang w:eastAsia="ru-RU"/>
        </w:rPr>
        <w:t>.</w:t>
      </w:r>
    </w:p>
    <w:p w:rsidR="000A1416" w:rsidRPr="00F940B3" w:rsidRDefault="000A1416" w:rsidP="006D2245">
      <w:pPr>
        <w:shd w:val="clear" w:color="auto" w:fill="FFFFFF"/>
        <w:spacing w:after="0"/>
        <w:jc w:val="both"/>
        <w:rPr>
          <w:rFonts w:eastAsia="Times New Roman" w:cs="Times New Roman"/>
          <w:b/>
          <w:color w:val="000000"/>
          <w:sz w:val="24"/>
          <w:szCs w:val="24"/>
          <w:lang w:eastAsia="ru-RU"/>
        </w:rPr>
      </w:pPr>
    </w:p>
    <w:p w:rsidR="00ED478D" w:rsidRPr="002155D4" w:rsidRDefault="000A1416" w:rsidP="002155D4">
      <w:pPr>
        <w:shd w:val="clear" w:color="auto" w:fill="FFFFFF"/>
        <w:spacing w:after="0"/>
        <w:jc w:val="both"/>
        <w:rPr>
          <w:rFonts w:eastAsia="Times New Roman" w:cs="Times New Roman"/>
          <w:color w:val="FF0000"/>
          <w:sz w:val="24"/>
          <w:szCs w:val="24"/>
          <w:lang w:eastAsia="ru-RU"/>
        </w:rPr>
      </w:pPr>
      <w:r w:rsidRPr="00F940B3">
        <w:rPr>
          <w:rFonts w:eastAsia="Times New Roman" w:cs="Times New Roman"/>
          <w:color w:val="000000"/>
          <w:sz w:val="24"/>
          <w:szCs w:val="24"/>
          <w:lang w:eastAsia="ru-RU"/>
        </w:rPr>
        <w:t>12.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Pr="00F940B3">
        <w:rPr>
          <w:rFonts w:eastAsia="Times New Roman" w:cs="Times New Roman"/>
          <w:sz w:val="24"/>
          <w:szCs w:val="24"/>
          <w:lang w:eastAsia="ru-RU"/>
        </w:rPr>
        <w:t xml:space="preserve">: </w:t>
      </w:r>
      <w:r w:rsidRPr="00F940B3">
        <w:rPr>
          <w:rFonts w:eastAsia="Times New Roman" w:cs="Times New Roman"/>
          <w:b/>
          <w:sz w:val="24"/>
          <w:szCs w:val="24"/>
          <w:lang w:eastAsia="ru-RU"/>
        </w:rPr>
        <w:t>1 %</w:t>
      </w:r>
    </w:p>
    <w:sectPr w:rsidR="00ED478D" w:rsidRPr="002155D4" w:rsidSect="00ED6C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13C"/>
    <w:multiLevelType w:val="hybridMultilevel"/>
    <w:tmpl w:val="0AACE2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C7345B5"/>
    <w:multiLevelType w:val="hybridMultilevel"/>
    <w:tmpl w:val="25847AC0"/>
    <w:lvl w:ilvl="0" w:tplc="58540D54">
      <w:start w:val="1"/>
      <w:numFmt w:val="decimal"/>
      <w:lvlText w:val="5.%1."/>
      <w:lvlJc w:val="left"/>
      <w:pPr>
        <w:ind w:left="1260" w:hanging="360"/>
      </w:pPr>
      <w:rPr>
        <w:rFonts w:hint="default"/>
        <w:b w:val="0"/>
        <w:sz w:val="24"/>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35A7BF6"/>
    <w:multiLevelType w:val="hybridMultilevel"/>
    <w:tmpl w:val="E1D2D798"/>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5">
    <w:nsid w:val="237D34F1"/>
    <w:multiLevelType w:val="hybridMultilevel"/>
    <w:tmpl w:val="29FAA222"/>
    <w:lvl w:ilvl="0" w:tplc="8728B3E6">
      <w:start w:val="6"/>
      <w:numFmt w:val="bullet"/>
      <w:lvlText w:val="-"/>
      <w:lvlJc w:val="left"/>
      <w:pPr>
        <w:ind w:left="394" w:hanging="360"/>
      </w:pPr>
      <w:rPr>
        <w:rFonts w:ascii="Times New Roman" w:eastAsia="Tahoma"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6">
    <w:nsid w:val="322865C9"/>
    <w:multiLevelType w:val="hybridMultilevel"/>
    <w:tmpl w:val="1EF648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8">
    <w:nsid w:val="43EA236C"/>
    <w:multiLevelType w:val="hybridMultilevel"/>
    <w:tmpl w:val="403A5F2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
    <w:nsid w:val="47F54688"/>
    <w:multiLevelType w:val="hybridMultilevel"/>
    <w:tmpl w:val="99F6025A"/>
    <w:lvl w:ilvl="0" w:tplc="784EB8D0">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1">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12">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4">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8"/>
  </w:num>
  <w:num w:numId="7">
    <w:abstractNumId w:val="17"/>
  </w:num>
  <w:num w:numId="8">
    <w:abstractNumId w:val="14"/>
  </w:num>
  <w:num w:numId="9">
    <w:abstractNumId w:val="11"/>
  </w:num>
  <w:num w:numId="10">
    <w:abstractNumId w:val="3"/>
  </w:num>
  <w:num w:numId="11">
    <w:abstractNumId w:val="2"/>
  </w:num>
  <w:num w:numId="12">
    <w:abstractNumId w:val="1"/>
  </w:num>
  <w:num w:numId="13">
    <w:abstractNumId w:val="10"/>
  </w:num>
  <w:num w:numId="14">
    <w:abstractNumId w:val="6"/>
  </w:num>
  <w:num w:numId="15">
    <w:abstractNumId w:val="0"/>
  </w:num>
  <w:num w:numId="16">
    <w:abstractNumId w:val="8"/>
  </w:num>
  <w:num w:numId="17">
    <w:abstractNumId w:val="5"/>
  </w:num>
  <w:num w:numId="18">
    <w:abstractNumId w:val="7"/>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2972BA"/>
    <w:rsid w:val="00000595"/>
    <w:rsid w:val="00001F80"/>
    <w:rsid w:val="00011E11"/>
    <w:rsid w:val="00022382"/>
    <w:rsid w:val="000230D1"/>
    <w:rsid w:val="000266F4"/>
    <w:rsid w:val="00031D6F"/>
    <w:rsid w:val="0005059D"/>
    <w:rsid w:val="000516EA"/>
    <w:rsid w:val="00052328"/>
    <w:rsid w:val="00052B9E"/>
    <w:rsid w:val="000544D3"/>
    <w:rsid w:val="00061007"/>
    <w:rsid w:val="000643D2"/>
    <w:rsid w:val="0007134E"/>
    <w:rsid w:val="00075F65"/>
    <w:rsid w:val="000801E9"/>
    <w:rsid w:val="000810E6"/>
    <w:rsid w:val="000A1416"/>
    <w:rsid w:val="000A1DCD"/>
    <w:rsid w:val="000A270C"/>
    <w:rsid w:val="000B3E63"/>
    <w:rsid w:val="000E0A88"/>
    <w:rsid w:val="000F11F4"/>
    <w:rsid w:val="00105D6C"/>
    <w:rsid w:val="00113969"/>
    <w:rsid w:val="00114B9C"/>
    <w:rsid w:val="00120888"/>
    <w:rsid w:val="00125409"/>
    <w:rsid w:val="00127648"/>
    <w:rsid w:val="001324E8"/>
    <w:rsid w:val="00157016"/>
    <w:rsid w:val="0016505B"/>
    <w:rsid w:val="00170C25"/>
    <w:rsid w:val="00175875"/>
    <w:rsid w:val="00180CC0"/>
    <w:rsid w:val="001B0397"/>
    <w:rsid w:val="001B68DC"/>
    <w:rsid w:val="001C1EF4"/>
    <w:rsid w:val="001C40D0"/>
    <w:rsid w:val="001C74E1"/>
    <w:rsid w:val="001D6452"/>
    <w:rsid w:val="001E33EC"/>
    <w:rsid w:val="001E396C"/>
    <w:rsid w:val="001E7DFB"/>
    <w:rsid w:val="002155D4"/>
    <w:rsid w:val="002174FF"/>
    <w:rsid w:val="00230C37"/>
    <w:rsid w:val="002503D7"/>
    <w:rsid w:val="002579E1"/>
    <w:rsid w:val="00260619"/>
    <w:rsid w:val="002640A1"/>
    <w:rsid w:val="00270E9E"/>
    <w:rsid w:val="0027794F"/>
    <w:rsid w:val="00281CFD"/>
    <w:rsid w:val="00283048"/>
    <w:rsid w:val="0028464E"/>
    <w:rsid w:val="00285501"/>
    <w:rsid w:val="00290375"/>
    <w:rsid w:val="002972BA"/>
    <w:rsid w:val="002A41EB"/>
    <w:rsid w:val="002A5B14"/>
    <w:rsid w:val="002B0509"/>
    <w:rsid w:val="002C4796"/>
    <w:rsid w:val="002D4E68"/>
    <w:rsid w:val="00305946"/>
    <w:rsid w:val="003140A2"/>
    <w:rsid w:val="00320883"/>
    <w:rsid w:val="003222EE"/>
    <w:rsid w:val="00335846"/>
    <w:rsid w:val="00335B98"/>
    <w:rsid w:val="00353819"/>
    <w:rsid w:val="00361DAE"/>
    <w:rsid w:val="003623E5"/>
    <w:rsid w:val="00366CF9"/>
    <w:rsid w:val="003677DE"/>
    <w:rsid w:val="0039350D"/>
    <w:rsid w:val="00394258"/>
    <w:rsid w:val="00397A15"/>
    <w:rsid w:val="003A6237"/>
    <w:rsid w:val="003B3520"/>
    <w:rsid w:val="003B3E83"/>
    <w:rsid w:val="003C77A1"/>
    <w:rsid w:val="003E1807"/>
    <w:rsid w:val="00401766"/>
    <w:rsid w:val="00406292"/>
    <w:rsid w:val="0041330A"/>
    <w:rsid w:val="00413374"/>
    <w:rsid w:val="00430D26"/>
    <w:rsid w:val="00434051"/>
    <w:rsid w:val="0043478A"/>
    <w:rsid w:val="00435514"/>
    <w:rsid w:val="00436CA6"/>
    <w:rsid w:val="00450506"/>
    <w:rsid w:val="0047721B"/>
    <w:rsid w:val="0048701B"/>
    <w:rsid w:val="00491024"/>
    <w:rsid w:val="00496FBC"/>
    <w:rsid w:val="004A3E9E"/>
    <w:rsid w:val="004C1196"/>
    <w:rsid w:val="004D3246"/>
    <w:rsid w:val="005071B1"/>
    <w:rsid w:val="0050747B"/>
    <w:rsid w:val="00564776"/>
    <w:rsid w:val="00567E2A"/>
    <w:rsid w:val="00570F25"/>
    <w:rsid w:val="00574729"/>
    <w:rsid w:val="00576D0B"/>
    <w:rsid w:val="00585E75"/>
    <w:rsid w:val="005A7B00"/>
    <w:rsid w:val="005B070F"/>
    <w:rsid w:val="005B79F2"/>
    <w:rsid w:val="005C2561"/>
    <w:rsid w:val="005C6D44"/>
    <w:rsid w:val="005D689C"/>
    <w:rsid w:val="005E093C"/>
    <w:rsid w:val="005E0F74"/>
    <w:rsid w:val="005F2D4F"/>
    <w:rsid w:val="005F570A"/>
    <w:rsid w:val="00604A75"/>
    <w:rsid w:val="00612AE2"/>
    <w:rsid w:val="00613A9D"/>
    <w:rsid w:val="00631492"/>
    <w:rsid w:val="00633AE8"/>
    <w:rsid w:val="00635CA8"/>
    <w:rsid w:val="00640480"/>
    <w:rsid w:val="00653739"/>
    <w:rsid w:val="00657F8C"/>
    <w:rsid w:val="00660B43"/>
    <w:rsid w:val="00667B9D"/>
    <w:rsid w:val="00674D6F"/>
    <w:rsid w:val="006847FD"/>
    <w:rsid w:val="0068722A"/>
    <w:rsid w:val="00695C57"/>
    <w:rsid w:val="006A1E97"/>
    <w:rsid w:val="006A5FE1"/>
    <w:rsid w:val="006B3F80"/>
    <w:rsid w:val="006C061D"/>
    <w:rsid w:val="006C6A50"/>
    <w:rsid w:val="006D2245"/>
    <w:rsid w:val="006D28B4"/>
    <w:rsid w:val="006E1721"/>
    <w:rsid w:val="00700E44"/>
    <w:rsid w:val="00730378"/>
    <w:rsid w:val="00743D74"/>
    <w:rsid w:val="0076705C"/>
    <w:rsid w:val="007B4EFB"/>
    <w:rsid w:val="007C5553"/>
    <w:rsid w:val="007D4756"/>
    <w:rsid w:val="007D4963"/>
    <w:rsid w:val="007E4867"/>
    <w:rsid w:val="007F1A05"/>
    <w:rsid w:val="007F3084"/>
    <w:rsid w:val="007F42E8"/>
    <w:rsid w:val="007F6A77"/>
    <w:rsid w:val="00803168"/>
    <w:rsid w:val="00806056"/>
    <w:rsid w:val="00817B58"/>
    <w:rsid w:val="008307AA"/>
    <w:rsid w:val="008368A3"/>
    <w:rsid w:val="00845570"/>
    <w:rsid w:val="0084651C"/>
    <w:rsid w:val="00850046"/>
    <w:rsid w:val="00864C39"/>
    <w:rsid w:val="00872523"/>
    <w:rsid w:val="00876632"/>
    <w:rsid w:val="00883EF3"/>
    <w:rsid w:val="00895EA5"/>
    <w:rsid w:val="008A3140"/>
    <w:rsid w:val="008A4332"/>
    <w:rsid w:val="008A5D4F"/>
    <w:rsid w:val="008B3DC5"/>
    <w:rsid w:val="008B3E66"/>
    <w:rsid w:val="008C5A2B"/>
    <w:rsid w:val="008D02E1"/>
    <w:rsid w:val="008D3EE4"/>
    <w:rsid w:val="008D4081"/>
    <w:rsid w:val="008D526D"/>
    <w:rsid w:val="008E3D2D"/>
    <w:rsid w:val="008E5CEC"/>
    <w:rsid w:val="0091549F"/>
    <w:rsid w:val="0092306B"/>
    <w:rsid w:val="00926F16"/>
    <w:rsid w:val="00935AA7"/>
    <w:rsid w:val="00943E2A"/>
    <w:rsid w:val="00946532"/>
    <w:rsid w:val="00951DED"/>
    <w:rsid w:val="00956FAE"/>
    <w:rsid w:val="00962CD9"/>
    <w:rsid w:val="009671EF"/>
    <w:rsid w:val="00986E74"/>
    <w:rsid w:val="009920C2"/>
    <w:rsid w:val="009B6245"/>
    <w:rsid w:val="009C460F"/>
    <w:rsid w:val="009D1528"/>
    <w:rsid w:val="009D5D4B"/>
    <w:rsid w:val="009F10B8"/>
    <w:rsid w:val="009F390D"/>
    <w:rsid w:val="009F3D2D"/>
    <w:rsid w:val="009F4A94"/>
    <w:rsid w:val="009F7B77"/>
    <w:rsid w:val="00A06F56"/>
    <w:rsid w:val="00A10E26"/>
    <w:rsid w:val="00A10E43"/>
    <w:rsid w:val="00A26DDD"/>
    <w:rsid w:val="00A3072E"/>
    <w:rsid w:val="00A47BE8"/>
    <w:rsid w:val="00A6685A"/>
    <w:rsid w:val="00A77BE0"/>
    <w:rsid w:val="00A77CC2"/>
    <w:rsid w:val="00A94212"/>
    <w:rsid w:val="00AA26BF"/>
    <w:rsid w:val="00AA2F33"/>
    <w:rsid w:val="00AB10DE"/>
    <w:rsid w:val="00AB5E90"/>
    <w:rsid w:val="00AC1D2C"/>
    <w:rsid w:val="00AC43D2"/>
    <w:rsid w:val="00AD5814"/>
    <w:rsid w:val="00AE62C4"/>
    <w:rsid w:val="00B026B2"/>
    <w:rsid w:val="00B1789B"/>
    <w:rsid w:val="00B23051"/>
    <w:rsid w:val="00B30B8B"/>
    <w:rsid w:val="00B322D0"/>
    <w:rsid w:val="00B36FB2"/>
    <w:rsid w:val="00B51AFE"/>
    <w:rsid w:val="00B6621F"/>
    <w:rsid w:val="00B72D0C"/>
    <w:rsid w:val="00B8374D"/>
    <w:rsid w:val="00BA0E54"/>
    <w:rsid w:val="00BA1F4B"/>
    <w:rsid w:val="00BA48F8"/>
    <w:rsid w:val="00BC4537"/>
    <w:rsid w:val="00BC72D3"/>
    <w:rsid w:val="00BD13E8"/>
    <w:rsid w:val="00BE3BBA"/>
    <w:rsid w:val="00C142E0"/>
    <w:rsid w:val="00C15CBF"/>
    <w:rsid w:val="00C15F8A"/>
    <w:rsid w:val="00C20B46"/>
    <w:rsid w:val="00C31500"/>
    <w:rsid w:val="00C31B4E"/>
    <w:rsid w:val="00C428B0"/>
    <w:rsid w:val="00C43643"/>
    <w:rsid w:val="00C527EC"/>
    <w:rsid w:val="00C53377"/>
    <w:rsid w:val="00C54988"/>
    <w:rsid w:val="00C56FF2"/>
    <w:rsid w:val="00C62580"/>
    <w:rsid w:val="00C65108"/>
    <w:rsid w:val="00C656DF"/>
    <w:rsid w:val="00C82947"/>
    <w:rsid w:val="00C8721F"/>
    <w:rsid w:val="00C904FC"/>
    <w:rsid w:val="00C944A1"/>
    <w:rsid w:val="00C97A2E"/>
    <w:rsid w:val="00CB25FF"/>
    <w:rsid w:val="00CB2E1D"/>
    <w:rsid w:val="00CB56F8"/>
    <w:rsid w:val="00CD0C06"/>
    <w:rsid w:val="00CD479D"/>
    <w:rsid w:val="00CE51B5"/>
    <w:rsid w:val="00CE729D"/>
    <w:rsid w:val="00CF48B1"/>
    <w:rsid w:val="00D00F3A"/>
    <w:rsid w:val="00D02275"/>
    <w:rsid w:val="00D049B0"/>
    <w:rsid w:val="00D106BD"/>
    <w:rsid w:val="00D1152B"/>
    <w:rsid w:val="00D12DEC"/>
    <w:rsid w:val="00D135CD"/>
    <w:rsid w:val="00D16B37"/>
    <w:rsid w:val="00D31CEA"/>
    <w:rsid w:val="00D37D04"/>
    <w:rsid w:val="00D42531"/>
    <w:rsid w:val="00D47606"/>
    <w:rsid w:val="00D5559F"/>
    <w:rsid w:val="00D7589B"/>
    <w:rsid w:val="00D77675"/>
    <w:rsid w:val="00DA4FCB"/>
    <w:rsid w:val="00DB245B"/>
    <w:rsid w:val="00DB3628"/>
    <w:rsid w:val="00DB4C74"/>
    <w:rsid w:val="00DB7196"/>
    <w:rsid w:val="00DD710E"/>
    <w:rsid w:val="00DE3A3B"/>
    <w:rsid w:val="00DF3743"/>
    <w:rsid w:val="00DF3B61"/>
    <w:rsid w:val="00DF4F5F"/>
    <w:rsid w:val="00DF7D42"/>
    <w:rsid w:val="00E0137F"/>
    <w:rsid w:val="00E0595C"/>
    <w:rsid w:val="00E0612F"/>
    <w:rsid w:val="00E23973"/>
    <w:rsid w:val="00E23DDE"/>
    <w:rsid w:val="00E23F5D"/>
    <w:rsid w:val="00E25BF1"/>
    <w:rsid w:val="00E30030"/>
    <w:rsid w:val="00E36405"/>
    <w:rsid w:val="00E510B9"/>
    <w:rsid w:val="00E54145"/>
    <w:rsid w:val="00E61B10"/>
    <w:rsid w:val="00E708B5"/>
    <w:rsid w:val="00E7677D"/>
    <w:rsid w:val="00E94174"/>
    <w:rsid w:val="00EB0B10"/>
    <w:rsid w:val="00EC0800"/>
    <w:rsid w:val="00EC0D82"/>
    <w:rsid w:val="00ED1226"/>
    <w:rsid w:val="00ED400B"/>
    <w:rsid w:val="00ED478D"/>
    <w:rsid w:val="00ED6A8D"/>
    <w:rsid w:val="00ED6CB0"/>
    <w:rsid w:val="00EE17E7"/>
    <w:rsid w:val="00EE2A97"/>
    <w:rsid w:val="00EE3986"/>
    <w:rsid w:val="00EF1591"/>
    <w:rsid w:val="00EF44AA"/>
    <w:rsid w:val="00F25D3D"/>
    <w:rsid w:val="00F336A0"/>
    <w:rsid w:val="00F37ACA"/>
    <w:rsid w:val="00F41DB4"/>
    <w:rsid w:val="00F46E96"/>
    <w:rsid w:val="00F53F45"/>
    <w:rsid w:val="00F625AC"/>
    <w:rsid w:val="00F80C24"/>
    <w:rsid w:val="00F81712"/>
    <w:rsid w:val="00F83D70"/>
    <w:rsid w:val="00F847AF"/>
    <w:rsid w:val="00F9404B"/>
    <w:rsid w:val="00F940B3"/>
    <w:rsid w:val="00FA39E7"/>
    <w:rsid w:val="00FB2F57"/>
    <w:rsid w:val="00FD029C"/>
    <w:rsid w:val="00FD2B3D"/>
    <w:rsid w:val="00FD3D75"/>
    <w:rsid w:val="00FE6E50"/>
    <w:rsid w:val="00FE77B2"/>
    <w:rsid w:val="00FF1E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1">
    <w:name w:val="heading 1"/>
    <w:basedOn w:val="a"/>
    <w:next w:val="a"/>
    <w:link w:val="10"/>
    <w:uiPriority w:val="9"/>
    <w:qFormat/>
    <w:rsid w:val="00657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99"/>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qFormat/>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 w:type="character" w:customStyle="1" w:styleId="21">
    <w:name w:val="Основной текст (2)_"/>
    <w:basedOn w:val="a0"/>
    <w:link w:val="22"/>
    <w:rsid w:val="000F11F4"/>
    <w:rPr>
      <w:rFonts w:ascii="Times New Roman" w:eastAsia="Times New Roman" w:hAnsi="Times New Roman"/>
      <w:shd w:val="clear" w:color="auto" w:fill="FFFFFF"/>
    </w:rPr>
  </w:style>
  <w:style w:type="paragraph" w:customStyle="1" w:styleId="22">
    <w:name w:val="Основной текст (2)"/>
    <w:basedOn w:val="a"/>
    <w:link w:val="21"/>
    <w:rsid w:val="000F11F4"/>
    <w:pPr>
      <w:widowControl w:val="0"/>
      <w:shd w:val="clear" w:color="auto" w:fill="FFFFFF"/>
      <w:spacing w:after="0" w:line="0" w:lineRule="atLeast"/>
      <w:jc w:val="both"/>
    </w:pPr>
    <w:rPr>
      <w:rFonts w:eastAsia="Times New Roman" w:cstheme="minorBidi"/>
      <w:lang w:eastAsia="en-US"/>
    </w:rPr>
  </w:style>
  <w:style w:type="character" w:customStyle="1" w:styleId="10">
    <w:name w:val="Заголовок 1 Знак"/>
    <w:basedOn w:val="a0"/>
    <w:link w:val="1"/>
    <w:uiPriority w:val="9"/>
    <w:rsid w:val="00657F8C"/>
    <w:rPr>
      <w:rFonts w:asciiTheme="majorHAnsi" w:eastAsiaTheme="majorEastAsia" w:hAnsiTheme="majorHAnsi" w:cstheme="majorBidi"/>
      <w:b/>
      <w:bCs/>
      <w:color w:val="365F91" w:themeColor="accent1" w:themeShade="BF"/>
      <w:sz w:val="28"/>
      <w:szCs w:val="28"/>
      <w:lang w:eastAsia="uk-UA"/>
    </w:rPr>
  </w:style>
  <w:style w:type="character" w:styleId="af2">
    <w:name w:val="Strong"/>
    <w:uiPriority w:val="99"/>
    <w:qFormat/>
    <w:rsid w:val="00657F8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 w:id="18739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6A3D8-A8DE-4AF1-A45C-F5C2771F6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5</Pages>
  <Words>7431</Words>
  <Characters>4237</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Tender6</cp:lastModifiedBy>
  <cp:revision>295</cp:revision>
  <cp:lastPrinted>2023-06-29T11:40:00Z</cp:lastPrinted>
  <dcterms:created xsi:type="dcterms:W3CDTF">2022-10-31T09:32:00Z</dcterms:created>
  <dcterms:modified xsi:type="dcterms:W3CDTF">2024-04-27T08:11:00Z</dcterms:modified>
</cp:coreProperties>
</file>