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98" w:rsidRPr="00EB401F" w:rsidRDefault="00B25B98">
      <w:pPr>
        <w:spacing w:after="240" w:line="240" w:lineRule="auto"/>
        <w:rPr>
          <w:rFonts w:ascii="Times New Roman" w:eastAsia="Times New Roman" w:hAnsi="Times New Roman" w:cs="Times New Roman"/>
          <w:sz w:val="14"/>
          <w:szCs w:val="24"/>
        </w:rPr>
      </w:pPr>
    </w:p>
    <w:p w:rsidR="00B25B98" w:rsidRDefault="001F389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B25B98" w:rsidRDefault="001F389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25B98" w:rsidRDefault="001F3891">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25B98" w:rsidRPr="00EB401F" w:rsidRDefault="001F389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EB401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2"/>
        <w:tblW w:w="9439" w:type="dxa"/>
        <w:jc w:val="center"/>
        <w:tblInd w:w="0" w:type="dxa"/>
        <w:tblLayout w:type="fixed"/>
        <w:tblLook w:val="0400" w:firstRow="0" w:lastRow="0" w:firstColumn="0" w:lastColumn="0" w:noHBand="0" w:noVBand="1"/>
      </w:tblPr>
      <w:tblGrid>
        <w:gridCol w:w="675"/>
        <w:gridCol w:w="5176"/>
        <w:gridCol w:w="3588"/>
      </w:tblGrid>
      <w:tr w:rsidR="00B25B98" w:rsidRPr="00EB401F" w:rsidTr="00EB401F">
        <w:trPr>
          <w:trHeight w:val="690"/>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5B98" w:rsidRPr="00EB401F" w:rsidRDefault="001F3891">
            <w:pPr>
              <w:spacing w:before="240" w:after="0" w:line="240" w:lineRule="auto"/>
              <w:jc w:val="center"/>
              <w:rPr>
                <w:rFonts w:ascii="Times New Roman" w:eastAsia="Times New Roman" w:hAnsi="Times New Roman" w:cs="Times New Roman"/>
                <w:color w:val="000000"/>
                <w:szCs w:val="24"/>
              </w:rPr>
            </w:pPr>
            <w:r w:rsidRPr="00EB401F">
              <w:rPr>
                <w:rFonts w:ascii="Times New Roman" w:eastAsia="Times New Roman" w:hAnsi="Times New Roman" w:cs="Times New Roman"/>
                <w:color w:val="000000"/>
                <w:szCs w:val="24"/>
              </w:rPr>
              <w:t>№ п/</w:t>
            </w:r>
            <w:proofErr w:type="spellStart"/>
            <w:r w:rsidRPr="00EB401F">
              <w:rPr>
                <w:rFonts w:ascii="Times New Roman" w:eastAsia="Times New Roman" w:hAnsi="Times New Roman" w:cs="Times New Roman"/>
                <w:color w:val="000000"/>
                <w:szCs w:val="24"/>
              </w:rPr>
              <w:t>п</w:t>
            </w:r>
            <w:proofErr w:type="spellEnd"/>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5B98" w:rsidRPr="00EB401F" w:rsidRDefault="001F3891">
            <w:pPr>
              <w:spacing w:before="240" w:after="0" w:line="240" w:lineRule="auto"/>
              <w:jc w:val="center"/>
              <w:rPr>
                <w:rFonts w:ascii="Times New Roman" w:eastAsia="Times New Roman" w:hAnsi="Times New Roman" w:cs="Times New Roman"/>
                <w:color w:val="000000"/>
                <w:szCs w:val="24"/>
              </w:rPr>
            </w:pPr>
            <w:r w:rsidRPr="00EB401F">
              <w:rPr>
                <w:rFonts w:ascii="Times New Roman" w:eastAsia="Times New Roman" w:hAnsi="Times New Roman" w:cs="Times New Roman"/>
                <w:color w:val="000000"/>
                <w:szCs w:val="24"/>
              </w:rPr>
              <w:t>Кваліфікаційні критерії</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5B98" w:rsidRPr="00EB401F" w:rsidRDefault="001F3891">
            <w:pPr>
              <w:spacing w:before="240" w:after="0" w:line="240" w:lineRule="auto"/>
              <w:jc w:val="center"/>
              <w:rPr>
                <w:rFonts w:ascii="Times New Roman" w:eastAsia="Times New Roman" w:hAnsi="Times New Roman" w:cs="Times New Roman"/>
                <w:color w:val="000000"/>
                <w:szCs w:val="24"/>
              </w:rPr>
            </w:pPr>
            <w:r w:rsidRPr="00EB401F">
              <w:rPr>
                <w:rFonts w:ascii="Times New Roman" w:eastAsia="Times New Roman" w:hAnsi="Times New Roman" w:cs="Times New Roman"/>
                <w:color w:val="000000"/>
                <w:szCs w:val="24"/>
              </w:rPr>
              <w:t xml:space="preserve">Документи та </w:t>
            </w:r>
            <w:r w:rsidRPr="00EB401F">
              <w:rPr>
                <w:rFonts w:ascii="Times New Roman" w:eastAsia="Times New Roman" w:hAnsi="Times New Roman" w:cs="Times New Roman"/>
                <w:color w:val="FF0000"/>
                <w:szCs w:val="24"/>
              </w:rPr>
              <w:t>інформація</w:t>
            </w:r>
            <w:r w:rsidRPr="00EB401F">
              <w:rPr>
                <w:rFonts w:ascii="Times New Roman" w:eastAsia="Times New Roman" w:hAnsi="Times New Roman" w:cs="Times New Roman"/>
                <w:color w:val="000000"/>
                <w:szCs w:val="24"/>
              </w:rPr>
              <w:t>, які підтверджують відповідність Учасника кваліфікаційним критеріям**</w:t>
            </w:r>
          </w:p>
        </w:tc>
      </w:tr>
      <w:tr w:rsidR="00B25B98" w:rsidTr="00EB401F">
        <w:trPr>
          <w:trHeight w:val="285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B25B98" w:rsidRDefault="001F3891">
            <w:pPr>
              <w:spacing w:after="0" w:line="240" w:lineRule="auto"/>
              <w:jc w:val="both"/>
              <w:rPr>
                <w:rFonts w:ascii="Times New Roman" w:eastAsia="Times New Roman" w:hAnsi="Times New Roman" w:cs="Times New Roman"/>
                <w:i/>
                <w:color w:val="000000"/>
                <w:sz w:val="24"/>
                <w:szCs w:val="24"/>
              </w:rPr>
            </w:pPr>
            <w:r w:rsidRPr="00EB401F">
              <w:rPr>
                <w:rFonts w:ascii="Times New Roman" w:eastAsia="Times New Roman" w:hAnsi="Times New Roman" w:cs="Times New Roman"/>
                <w:i/>
                <w:color w:val="000000"/>
                <w:sz w:val="20"/>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EB401F">
              <w:rPr>
                <w:rFonts w:ascii="Times New Roman" w:eastAsia="Times New Roman" w:hAnsi="Times New Roman" w:cs="Times New Roman"/>
                <w:i/>
                <w:color w:val="00B050"/>
                <w:sz w:val="20"/>
                <w:szCs w:val="24"/>
              </w:rPr>
              <w:t>спроможності*</w:t>
            </w:r>
            <w:r w:rsidRPr="00EB401F">
              <w:rPr>
                <w:rFonts w:ascii="Times New Roman" w:eastAsia="Times New Roman" w:hAnsi="Times New Roman" w:cs="Times New Roman"/>
                <w:i/>
                <w:color w:val="000000"/>
                <w:sz w:val="20"/>
                <w:szCs w:val="24"/>
              </w:rPr>
              <w:t xml:space="preserve"> інших суб’єктів господарювання як субпідрядників/ співвиконавців</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1F" w:rsidRPr="008F6A81" w:rsidRDefault="00EB401F" w:rsidP="00EB401F">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EB401F" w:rsidRDefault="00EB401F" w:rsidP="00EB401F">
            <w:pPr>
              <w:shd w:val="clear" w:color="auto" w:fill="FFFFFF"/>
              <w:spacing w:after="0" w:line="240" w:lineRule="auto"/>
              <w:jc w:val="both"/>
              <w:rPr>
                <w:rFonts w:ascii="Times New Roman" w:eastAsia="Times New Roman" w:hAnsi="Times New Roman" w:cs="Times New Roman"/>
                <w:color w:val="000000"/>
                <w:sz w:val="24"/>
                <w:szCs w:val="24"/>
              </w:rPr>
            </w:pPr>
          </w:p>
          <w:p w:rsidR="00B25B98" w:rsidRDefault="00B25B98">
            <w:pPr>
              <w:spacing w:after="0" w:line="240" w:lineRule="auto"/>
              <w:jc w:val="both"/>
              <w:rPr>
                <w:rFonts w:ascii="Times New Roman" w:eastAsia="Times New Roman" w:hAnsi="Times New Roman" w:cs="Times New Roman"/>
                <w:color w:val="000000"/>
                <w:sz w:val="24"/>
                <w:szCs w:val="24"/>
              </w:rPr>
            </w:pPr>
          </w:p>
        </w:tc>
      </w:tr>
      <w:tr w:rsidR="00B25B98" w:rsidTr="00EB401F">
        <w:trPr>
          <w:trHeight w:val="225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B25B98" w:rsidRDefault="001F3891">
            <w:pPr>
              <w:spacing w:after="0" w:line="240" w:lineRule="auto"/>
              <w:jc w:val="both"/>
              <w:rPr>
                <w:rFonts w:ascii="Times New Roman" w:eastAsia="Times New Roman" w:hAnsi="Times New Roman" w:cs="Times New Roman"/>
                <w:i/>
                <w:color w:val="000000"/>
                <w:sz w:val="24"/>
                <w:szCs w:val="24"/>
              </w:rPr>
            </w:pPr>
            <w:r w:rsidRPr="00EB401F">
              <w:rPr>
                <w:rFonts w:ascii="Times New Roman" w:eastAsia="Times New Roman" w:hAnsi="Times New Roman" w:cs="Times New Roman"/>
                <w:i/>
                <w:color w:val="000000"/>
                <w:sz w:val="20"/>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EB401F">
              <w:rPr>
                <w:rFonts w:ascii="Times New Roman" w:eastAsia="Times New Roman" w:hAnsi="Times New Roman" w:cs="Times New Roman"/>
                <w:i/>
                <w:color w:val="00B050"/>
                <w:sz w:val="20"/>
                <w:szCs w:val="24"/>
              </w:rPr>
              <w:t>спроможності*</w:t>
            </w:r>
            <w:r w:rsidRPr="00EB401F">
              <w:rPr>
                <w:rFonts w:ascii="Times New Roman" w:eastAsia="Times New Roman" w:hAnsi="Times New Roman" w:cs="Times New Roman"/>
                <w:i/>
                <w:color w:val="000000"/>
                <w:sz w:val="20"/>
                <w:szCs w:val="24"/>
              </w:rPr>
              <w:t xml:space="preserve"> інших суб’єктів господарювання як субпідрядників/ співвиконавців</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1F" w:rsidRPr="008F6A81" w:rsidRDefault="00EB401F" w:rsidP="00EB401F">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EB401F" w:rsidRDefault="00EB401F" w:rsidP="00EB401F">
            <w:pPr>
              <w:spacing w:after="0" w:line="240" w:lineRule="auto"/>
              <w:jc w:val="both"/>
              <w:rPr>
                <w:rFonts w:ascii="Times New Roman" w:eastAsia="Times New Roman" w:hAnsi="Times New Roman" w:cs="Times New Roman"/>
                <w:color w:val="000000"/>
                <w:sz w:val="24"/>
                <w:szCs w:val="24"/>
              </w:rPr>
            </w:pPr>
          </w:p>
          <w:p w:rsidR="00B25B98" w:rsidRDefault="00B25B98">
            <w:pPr>
              <w:spacing w:after="0" w:line="240" w:lineRule="auto"/>
              <w:jc w:val="both"/>
              <w:rPr>
                <w:rFonts w:ascii="Times New Roman" w:eastAsia="Times New Roman" w:hAnsi="Times New Roman" w:cs="Times New Roman"/>
                <w:color w:val="000000"/>
                <w:sz w:val="24"/>
                <w:szCs w:val="24"/>
              </w:rPr>
            </w:pPr>
          </w:p>
        </w:tc>
      </w:tr>
      <w:tr w:rsidR="00B25B98" w:rsidTr="00EB401F">
        <w:trPr>
          <w:trHeight w:val="225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1F" w:rsidRPr="008F6A81" w:rsidRDefault="00EB401F" w:rsidP="00EB401F">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B25B98" w:rsidRDefault="00B25B98">
            <w:pPr>
              <w:spacing w:after="0" w:line="240" w:lineRule="auto"/>
              <w:jc w:val="both"/>
              <w:rPr>
                <w:rFonts w:ascii="Times New Roman" w:eastAsia="Times New Roman" w:hAnsi="Times New Roman" w:cs="Times New Roman"/>
                <w:color w:val="000000"/>
                <w:sz w:val="24"/>
                <w:szCs w:val="24"/>
              </w:rPr>
            </w:pPr>
          </w:p>
        </w:tc>
      </w:tr>
      <w:tr w:rsidR="00B25B98" w:rsidTr="00EB401F">
        <w:trPr>
          <w:trHeight w:val="81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rsidR="00B25B98" w:rsidRDefault="001F3891">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EB401F">
              <w:rPr>
                <w:rFonts w:ascii="Times New Roman" w:eastAsia="Times New Roman" w:hAnsi="Times New Roman" w:cs="Times New Roman"/>
                <w:i/>
                <w:color w:val="000000"/>
                <w:sz w:val="20"/>
                <w:szCs w:val="24"/>
              </w:rPr>
              <w:t>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1F" w:rsidRPr="008F6A81" w:rsidRDefault="00EB401F" w:rsidP="00EB401F">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B25B98" w:rsidRDefault="00B25B98">
            <w:pPr>
              <w:spacing w:after="0" w:line="240" w:lineRule="auto"/>
              <w:jc w:val="both"/>
              <w:rPr>
                <w:rFonts w:ascii="Times New Roman" w:eastAsia="Times New Roman" w:hAnsi="Times New Roman" w:cs="Times New Roman"/>
                <w:i/>
                <w:color w:val="000000"/>
                <w:sz w:val="24"/>
                <w:szCs w:val="24"/>
              </w:rPr>
            </w:pPr>
          </w:p>
        </w:tc>
      </w:tr>
    </w:tbl>
    <w:p w:rsidR="00B25B98" w:rsidRDefault="001F3891">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EB401F">
        <w:rPr>
          <w:rFonts w:ascii="Times New Roman" w:eastAsia="Times New Roman" w:hAnsi="Times New Roman" w:cs="Times New Roman"/>
          <w:i/>
          <w:color w:val="00000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5B98" w:rsidRDefault="001F3891">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lastRenderedPageBreak/>
        <w:t>Підтвердження відповідності УЧАСНИКА  вимогам, визначеним у статті 17 Закону “Про публічні закупівлі” (далі – Закон).****</w:t>
      </w:r>
    </w:p>
    <w:p w:rsidR="00B25B98" w:rsidRDefault="00B25B98">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bookmarkStart w:id="1" w:name="_heading=h.30j0zll" w:colFirst="0" w:colLast="0"/>
      <w:bookmarkEnd w:id="1"/>
    </w:p>
    <w:p w:rsidR="00B25B98" w:rsidRDefault="001F3891">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Pr>
          <w:rFonts w:ascii="Times New Roman" w:eastAsia="Times New Roman" w:hAnsi="Times New Roman" w:cs="Times New Roman"/>
          <w:b/>
          <w:sz w:val="24"/>
          <w:szCs w:val="24"/>
          <w:u w:val="single"/>
        </w:rPr>
        <w:t>підтверджує відсутність підстав, передбачених пунктами 3, 5, 6, і 1</w:t>
      </w:r>
      <w:r w:rsidR="00221F7B">
        <w:rPr>
          <w:rFonts w:ascii="Times New Roman" w:eastAsia="Times New Roman" w:hAnsi="Times New Roman" w:cs="Times New Roman"/>
          <w:b/>
          <w:sz w:val="24"/>
          <w:szCs w:val="24"/>
          <w:u w:val="single"/>
        </w:rPr>
        <w:t>2</w:t>
      </w:r>
      <w:r>
        <w:rPr>
          <w:rFonts w:ascii="Times New Roman" w:eastAsia="Times New Roman" w:hAnsi="Times New Roman" w:cs="Times New Roman"/>
          <w:b/>
          <w:sz w:val="24"/>
          <w:szCs w:val="24"/>
          <w:u w:val="single"/>
        </w:rPr>
        <w:t xml:space="preserve"> частини першої статті 17 Закону шляхом заповнення відповідних електронних полів, визначених адміністратором </w:t>
      </w:r>
      <w:r>
        <w:rPr>
          <w:rFonts w:ascii="Times New Roman" w:eastAsia="Times New Roman" w:hAnsi="Times New Roman" w:cs="Times New Roman"/>
          <w:b/>
          <w:color w:val="333333"/>
          <w:sz w:val="24"/>
          <w:szCs w:val="24"/>
          <w:highlight w:val="white"/>
          <w:u w:val="single"/>
        </w:rPr>
        <w:t>електронної системи закупівель</w:t>
      </w:r>
      <w:r>
        <w:rPr>
          <w:rFonts w:ascii="Times New Roman" w:eastAsia="Times New Roman" w:hAnsi="Times New Roman" w:cs="Times New Roman"/>
          <w:b/>
          <w:sz w:val="24"/>
          <w:szCs w:val="24"/>
          <w:u w:val="single"/>
        </w:rPr>
        <w:t xml:space="preserve"> і реалізованих в електронній системі закупівель.</w:t>
      </w:r>
      <w:r>
        <w:rPr>
          <w:rFonts w:ascii="Times New Roman" w:eastAsia="Times New Roman" w:hAnsi="Times New Roman" w:cs="Times New Roman"/>
          <w:sz w:val="24"/>
          <w:szCs w:val="24"/>
          <w:u w:val="single"/>
        </w:rPr>
        <w:t xml:space="preserve"> *****</w:t>
      </w:r>
    </w:p>
    <w:p w:rsidR="00B25B98" w:rsidRDefault="001F3891">
      <w:pPr>
        <w:spacing w:after="0"/>
        <w:ind w:firstLine="4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Заповненням відповідних електронних полів вважається проставлення учасником відмітки в </w:t>
      </w:r>
      <w:proofErr w:type="spellStart"/>
      <w:r>
        <w:rPr>
          <w:rFonts w:ascii="Times New Roman" w:eastAsia="Times New Roman" w:hAnsi="Times New Roman" w:cs="Times New Roman"/>
          <w:b/>
          <w:sz w:val="24"/>
          <w:szCs w:val="24"/>
          <w:u w:val="single"/>
        </w:rPr>
        <w:t>чекбоксі</w:t>
      </w:r>
      <w:proofErr w:type="spellEnd"/>
      <w:r>
        <w:rPr>
          <w:rFonts w:ascii="Times New Roman" w:eastAsia="Times New Roman" w:hAnsi="Times New Roman" w:cs="Times New Roman"/>
          <w:b/>
          <w:sz w:val="24"/>
          <w:szCs w:val="24"/>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B25B98" w:rsidRDefault="001F3891">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Pr>
          <w:rFonts w:ascii="Times New Roman" w:eastAsia="Times New Roman" w:hAnsi="Times New Roman" w:cs="Times New Roman"/>
          <w:b/>
          <w:sz w:val="24"/>
          <w:szCs w:val="24"/>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eastAsia="Times New Roman" w:hAnsi="Times New Roman" w:cs="Times New Roman"/>
          <w:sz w:val="24"/>
          <w:szCs w:val="24"/>
          <w:u w:val="single"/>
        </w:rPr>
        <w:t>, зміст якої підтверджує відсутність відповідної підстави для відмови в участі у процедурі закупівлі.</w:t>
      </w:r>
    </w:p>
    <w:p w:rsidR="00B25B98" w:rsidRDefault="001F3891">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що перебуває в обставинах, зазначених у частині другій цієї статті, </w:t>
      </w:r>
      <w:r>
        <w:rPr>
          <w:rFonts w:ascii="Times New Roman" w:eastAsia="Times New Roman" w:hAnsi="Times New Roman" w:cs="Times New Roman"/>
          <w:b/>
          <w:sz w:val="24"/>
          <w:szCs w:val="24"/>
          <w:u w:val="single"/>
        </w:rPr>
        <w:t>може надати підтвердження вжиття заходів для доведення своєї надійності</w:t>
      </w:r>
      <w:r>
        <w:rPr>
          <w:rFonts w:ascii="Times New Roman" w:eastAsia="Times New Roman" w:hAnsi="Times New Roman" w:cs="Times New Roman"/>
          <w:sz w:val="24"/>
          <w:szCs w:val="24"/>
          <w:u w:val="single"/>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25B98" w:rsidRDefault="001F3891">
      <w:pPr>
        <w:spacing w:after="0"/>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white"/>
          <w:u w:val="single"/>
        </w:rPr>
        <w:t>Всю публічну інформацію щодо учасника, що оприлюднена у формі відкритих даних згідно із </w:t>
      </w:r>
      <w:hyperlink r:id="rId7">
        <w:r>
          <w:rPr>
            <w:rFonts w:ascii="Times New Roman" w:eastAsia="Times New Roman" w:hAnsi="Times New Roman" w:cs="Times New Roman"/>
            <w:color w:val="000099"/>
            <w:sz w:val="24"/>
            <w:szCs w:val="24"/>
            <w:highlight w:val="white"/>
            <w:u w:val="single"/>
          </w:rPr>
          <w:t>Законом України</w:t>
        </w:r>
      </w:hyperlink>
      <w:r>
        <w:rPr>
          <w:rFonts w:ascii="Times New Roman" w:eastAsia="Times New Roman" w:hAnsi="Times New Roman" w:cs="Times New Roman"/>
          <w:color w:val="333333"/>
          <w:sz w:val="24"/>
          <w:szCs w:val="24"/>
          <w:highlight w:val="white"/>
          <w:u w:val="singl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B25B98" w:rsidRDefault="00B25B98">
      <w:pPr>
        <w:spacing w:after="0" w:line="240" w:lineRule="auto"/>
        <w:jc w:val="both"/>
        <w:rPr>
          <w:rFonts w:ascii="Times New Roman" w:eastAsia="Times New Roman" w:hAnsi="Times New Roman" w:cs="Times New Roman"/>
          <w:i/>
          <w:color w:val="000000"/>
          <w:sz w:val="24"/>
          <w:szCs w:val="24"/>
        </w:rPr>
      </w:pPr>
    </w:p>
    <w:p w:rsidR="00B25B98" w:rsidRDefault="001F38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B25B98" w:rsidRDefault="001F38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rsidR="001F3891" w:rsidRDefault="001F3891">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EC1968" w:rsidRDefault="00EC1968">
      <w:pPr>
        <w:spacing w:after="0" w:line="240" w:lineRule="auto"/>
        <w:jc w:val="both"/>
        <w:rPr>
          <w:rFonts w:ascii="Times New Roman" w:eastAsia="Times New Roman" w:hAnsi="Times New Roman" w:cs="Times New Roman"/>
          <w:sz w:val="20"/>
          <w:szCs w:val="20"/>
        </w:rPr>
      </w:pPr>
    </w:p>
    <w:p w:rsidR="00B25B98" w:rsidRDefault="001F389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rsidR="00B25B98" w:rsidRDefault="001F3891">
      <w:pPr>
        <w:spacing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f4"/>
        <w:tblW w:w="10033" w:type="dxa"/>
        <w:tblInd w:w="-10" w:type="dxa"/>
        <w:tblLayout w:type="fixed"/>
        <w:tblLook w:val="0400" w:firstRow="0" w:lastRow="0" w:firstColumn="0" w:lastColumn="0" w:noHBand="0" w:noVBand="1"/>
      </w:tblPr>
      <w:tblGrid>
        <w:gridCol w:w="677"/>
        <w:gridCol w:w="4395"/>
        <w:gridCol w:w="4961"/>
      </w:tblGrid>
      <w:tr w:rsidR="00B25B98" w:rsidRPr="00EB401F" w:rsidTr="00EC1968">
        <w:trPr>
          <w:trHeight w:val="1432"/>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Pr="00EB401F" w:rsidRDefault="001F3891">
            <w:pPr>
              <w:spacing w:after="0" w:line="240" w:lineRule="auto"/>
              <w:ind w:left="140" w:right="140"/>
              <w:jc w:val="center"/>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w:t>
            </w:r>
          </w:p>
          <w:p w:rsidR="00B25B98" w:rsidRPr="00EB401F" w:rsidRDefault="001F3891">
            <w:pPr>
              <w:spacing w:after="0" w:line="240" w:lineRule="auto"/>
              <w:ind w:left="140" w:right="140"/>
              <w:jc w:val="center"/>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п/</w:t>
            </w:r>
            <w:proofErr w:type="spellStart"/>
            <w:r w:rsidRPr="00EB401F">
              <w:rPr>
                <w:rFonts w:ascii="Times New Roman" w:eastAsia="Times New Roman" w:hAnsi="Times New Roman" w:cs="Times New Roman"/>
                <w:b/>
                <w:color w:val="000000"/>
                <w:szCs w:val="24"/>
              </w:rPr>
              <w:t>п</w:t>
            </w:r>
            <w:proofErr w:type="spellEnd"/>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Pr="00EB401F" w:rsidRDefault="001F3891">
            <w:pPr>
              <w:spacing w:after="0" w:line="240" w:lineRule="auto"/>
              <w:ind w:left="140" w:right="140"/>
              <w:jc w:val="both"/>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Вимоги статті 17 Закону</w:t>
            </w:r>
          </w:p>
          <w:p w:rsidR="00B25B98" w:rsidRPr="00EB401F" w:rsidRDefault="001F3891">
            <w:pPr>
              <w:spacing w:after="0" w:line="240" w:lineRule="auto"/>
              <w:ind w:left="140" w:right="140"/>
              <w:jc w:val="both"/>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Pr="00EB401F" w:rsidRDefault="001F3891">
            <w:pPr>
              <w:spacing w:after="0" w:line="240" w:lineRule="auto"/>
              <w:ind w:right="140"/>
              <w:jc w:val="both"/>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Переможець торгів на виконання вимоги статті 17 (підтвердження відсутності підстав) повинен надати таку інформацію:</w:t>
            </w:r>
          </w:p>
        </w:tc>
      </w:tr>
      <w:tr w:rsidR="00B25B98" w:rsidTr="00EC1968">
        <w:trPr>
          <w:trHeight w:val="2255"/>
        </w:trPr>
        <w:tc>
          <w:tcPr>
            <w:tcW w:w="6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221F7B" w:rsidP="00221F7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EC1968">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EC1968">
              <w:rPr>
                <w:rFonts w:ascii="Times New Roman" w:eastAsia="Times New Roman" w:hAnsi="Times New Roman" w:cs="Times New Roman"/>
                <w:sz w:val="24"/>
                <w:szCs w:val="24"/>
              </w:rPr>
              <w:t>веб-ресурсі</w:t>
            </w:r>
            <w:proofErr w:type="spellEnd"/>
            <w:r w:rsidRPr="00EC1968">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B98" w:rsidTr="00EC1968">
        <w:trPr>
          <w:trHeight w:val="1018"/>
        </w:trPr>
        <w:tc>
          <w:tcPr>
            <w:tcW w:w="6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221F7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0C60A8">
              <w:rPr>
                <w:rFonts w:ascii="Times New Roman" w:eastAsia="Times New Roman" w:hAnsi="Times New Roman" w:cs="Times New Roman"/>
                <w:sz w:val="24"/>
                <w:szCs w:val="24"/>
              </w:rPr>
              <w:t>Документ повинен бути чинним на момент його подання.</w:t>
            </w:r>
          </w:p>
        </w:tc>
      </w:tr>
      <w:tr w:rsidR="00B25B98" w:rsidTr="00EC1968">
        <w:trPr>
          <w:trHeight w:val="4355"/>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221F7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000C60A8">
              <w:rPr>
                <w:rFonts w:ascii="Times New Roman" w:eastAsia="Times New Roman" w:hAnsi="Times New Roman" w:cs="Times New Roman"/>
                <w:sz w:val="24"/>
                <w:szCs w:val="24"/>
              </w:rPr>
              <w:t>Документ повинен бути чинним на момент його подання.</w:t>
            </w:r>
          </w:p>
        </w:tc>
      </w:tr>
      <w:tr w:rsidR="00B25B98" w:rsidTr="00EC1968">
        <w:trPr>
          <w:trHeight w:val="3755"/>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221F7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25B98" w:rsidRDefault="001F389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r w:rsidR="00EC1968">
        <w:rPr>
          <w:rFonts w:ascii="Times New Roman" w:eastAsia="Times New Roman" w:hAnsi="Times New Roman" w:cs="Times New Roman"/>
          <w:b/>
          <w:color w:val="000000"/>
          <w:sz w:val="24"/>
          <w:szCs w:val="24"/>
        </w:rPr>
        <w:t>:</w:t>
      </w:r>
    </w:p>
    <w:tbl>
      <w:tblPr>
        <w:tblStyle w:val="af5"/>
        <w:tblW w:w="9975" w:type="dxa"/>
        <w:tblInd w:w="-10" w:type="dxa"/>
        <w:tblLayout w:type="fixed"/>
        <w:tblLook w:val="0400" w:firstRow="0" w:lastRow="0" w:firstColumn="0" w:lastColumn="0" w:noHBand="0" w:noVBand="1"/>
      </w:tblPr>
      <w:tblGrid>
        <w:gridCol w:w="660"/>
        <w:gridCol w:w="4680"/>
        <w:gridCol w:w="4635"/>
      </w:tblGrid>
      <w:tr w:rsidR="00B25B98" w:rsidTr="00EC1968">
        <w:trPr>
          <w:trHeight w:val="150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w:t>
            </w:r>
            <w:proofErr w:type="spellStart"/>
            <w:r>
              <w:rPr>
                <w:rFonts w:ascii="Times New Roman" w:eastAsia="Times New Roman" w:hAnsi="Times New Roman" w:cs="Times New Roman"/>
                <w:b/>
                <w:color w:val="000000"/>
                <w:sz w:val="24"/>
                <w:szCs w:val="24"/>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EC1968">
              <w:rPr>
                <w:rFonts w:ascii="Times New Roman" w:eastAsia="Times New Roman" w:hAnsi="Times New Roman" w:cs="Times New Roman"/>
                <w:b/>
                <w:color w:val="000000"/>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25B98" w:rsidTr="00F25769">
        <w:trPr>
          <w:trHeight w:val="122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Pr="001F3891" w:rsidRDefault="001F3891">
            <w:pPr>
              <w:spacing w:after="0" w:line="240" w:lineRule="auto"/>
              <w:ind w:right="140"/>
              <w:jc w:val="both"/>
              <w:rPr>
                <w:rFonts w:ascii="Times New Roman" w:eastAsia="Times New Roman" w:hAnsi="Times New Roman" w:cs="Times New Roman"/>
                <w:color w:val="000000"/>
                <w:sz w:val="24"/>
                <w:szCs w:val="24"/>
              </w:rPr>
            </w:pPr>
            <w:r w:rsidRPr="00EC1968">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1F3891">
              <w:rPr>
                <w:rFonts w:ascii="Times New Roman" w:eastAsia="Times New Roman" w:hAnsi="Times New Roman" w:cs="Times New Roman"/>
                <w:sz w:val="24"/>
                <w:szCs w:val="24"/>
              </w:rPr>
              <w:t xml:space="preserve"> Довідка надається в період відсутності функціональної можливості перевірки інформації на </w:t>
            </w:r>
            <w:proofErr w:type="spellStart"/>
            <w:r w:rsidRPr="001F3891">
              <w:rPr>
                <w:rFonts w:ascii="Times New Roman" w:eastAsia="Times New Roman" w:hAnsi="Times New Roman" w:cs="Times New Roman"/>
                <w:sz w:val="24"/>
                <w:szCs w:val="24"/>
              </w:rPr>
              <w:t>веб-ресурсі</w:t>
            </w:r>
            <w:proofErr w:type="spellEnd"/>
            <w:r w:rsidRPr="001F3891">
              <w:rPr>
                <w:rFonts w:ascii="Times New Roman" w:eastAsia="Times New Roman" w:hAnsi="Times New Roman" w:cs="Times New Roman"/>
                <w:sz w:val="24"/>
                <w:szCs w:val="24"/>
              </w:rPr>
              <w:t xml:space="preserve"> Єдиного </w:t>
            </w:r>
            <w:r w:rsidRPr="001F3891">
              <w:rPr>
                <w:rFonts w:ascii="Times New Roman" w:eastAsia="Times New Roman" w:hAnsi="Times New Roman" w:cs="Times New Roman"/>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B25B98">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25B98" w:rsidRDefault="001F3891">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bookmarkStart w:id="3" w:name="_GoBack"/>
            <w:r w:rsidR="000C60A8">
              <w:rPr>
                <w:rFonts w:ascii="Times New Roman" w:eastAsia="Times New Roman" w:hAnsi="Times New Roman" w:cs="Times New Roman"/>
                <w:sz w:val="24"/>
                <w:szCs w:val="24"/>
              </w:rPr>
              <w:t>Документ повинен бути чинним на момент його подання.</w:t>
            </w:r>
            <w:bookmarkEnd w:id="3"/>
          </w:p>
        </w:tc>
      </w:tr>
      <w:tr w:rsidR="00B25B98" w:rsidTr="000C60A8">
        <w:trPr>
          <w:trHeight w:val="3757"/>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221F7B" w:rsidP="00221F7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rsidP="000C60A8">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w:t>
            </w:r>
            <w:r w:rsidR="000C60A8">
              <w:rPr>
                <w:rFonts w:ascii="Times New Roman" w:eastAsia="Times New Roman" w:hAnsi="Times New Roman" w:cs="Times New Roman"/>
                <w:sz w:val="24"/>
                <w:szCs w:val="24"/>
              </w:rPr>
              <w:t>чинним на момент його подання</w:t>
            </w:r>
            <w:r>
              <w:rPr>
                <w:rFonts w:ascii="Times New Roman" w:eastAsia="Times New Roman" w:hAnsi="Times New Roman" w:cs="Times New Roman"/>
                <w:sz w:val="24"/>
                <w:szCs w:val="24"/>
              </w:rPr>
              <w:t xml:space="preserve">. </w:t>
            </w:r>
          </w:p>
        </w:tc>
      </w:tr>
      <w:tr w:rsidR="00B25B98" w:rsidTr="00EC1968">
        <w:trPr>
          <w:trHeight w:val="377"/>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C9680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60A8" w:rsidRDefault="000C60A8" w:rsidP="001F3891">
      <w:pPr>
        <w:pStyle w:val="a4"/>
        <w:shd w:val="clear" w:color="auto" w:fill="FFFFFF"/>
        <w:spacing w:before="240" w:after="0" w:line="240" w:lineRule="auto"/>
        <w:ind w:left="502"/>
        <w:rPr>
          <w:rFonts w:ascii="Times New Roman" w:eastAsia="Times New Roman" w:hAnsi="Times New Roman" w:cs="Times New Roman"/>
          <w:b/>
          <w:color w:val="000000"/>
          <w:sz w:val="24"/>
          <w:szCs w:val="24"/>
        </w:rPr>
      </w:pPr>
    </w:p>
    <w:p w:rsidR="00B25B98" w:rsidRPr="001F3891" w:rsidRDefault="001F3891" w:rsidP="001F3891">
      <w:pPr>
        <w:pStyle w:val="a4"/>
        <w:shd w:val="clear" w:color="auto" w:fill="FFFFFF"/>
        <w:spacing w:before="240" w:after="0" w:line="240"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r w:rsidRPr="001F3891">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af6"/>
        <w:tblW w:w="9885" w:type="dxa"/>
        <w:tblInd w:w="0" w:type="dxa"/>
        <w:tblLayout w:type="fixed"/>
        <w:tblLook w:val="0400" w:firstRow="0" w:lastRow="0" w:firstColumn="0" w:lastColumn="0" w:noHBand="0" w:noVBand="1"/>
      </w:tblPr>
      <w:tblGrid>
        <w:gridCol w:w="420"/>
        <w:gridCol w:w="9465"/>
      </w:tblGrid>
      <w:tr w:rsidR="00B25B98">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B25B98">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25B98">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B25B98">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B25B98" w:rsidRDefault="001F3891">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5B98">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w:t>
            </w:r>
            <w:r w:rsidR="00FF32F8">
              <w:rPr>
                <w:rFonts w:ascii="Times New Roman" w:eastAsia="Times New Roman" w:hAnsi="Times New Roman" w:cs="Times New Roman"/>
                <w:sz w:val="24"/>
                <w:szCs w:val="24"/>
                <w:highlight w:val="white"/>
              </w:rPr>
              <w:t xml:space="preserve"> / Республіки Білорусь,</w:t>
            </w:r>
            <w:r>
              <w:rPr>
                <w:rFonts w:ascii="Times New Roman" w:eastAsia="Times New Roman" w:hAnsi="Times New Roman" w:cs="Times New Roman"/>
                <w:sz w:val="24"/>
                <w:szCs w:val="24"/>
              </w:rPr>
              <w:t xml:space="preserve">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25B98" w:rsidRPr="001F3891" w:rsidRDefault="001F3891" w:rsidP="001F3891">
            <w:pPr>
              <w:pStyle w:val="a4"/>
              <w:numPr>
                <w:ilvl w:val="0"/>
                <w:numId w:val="2"/>
              </w:numPr>
              <w:spacing w:after="0" w:line="276" w:lineRule="auto"/>
              <w:ind w:right="120"/>
              <w:jc w:val="both"/>
              <w:rPr>
                <w:rFonts w:ascii="Times New Roman" w:eastAsia="Times New Roman" w:hAnsi="Times New Roman" w:cs="Times New Roman"/>
                <w:sz w:val="24"/>
                <w:szCs w:val="24"/>
              </w:rPr>
            </w:pPr>
            <w:r w:rsidRPr="001F3891">
              <w:rPr>
                <w:rFonts w:ascii="Times New Roman" w:eastAsia="Times New Roman" w:hAnsi="Times New Roman" w:cs="Times New Roman"/>
                <w:sz w:val="24"/>
                <w:szCs w:val="24"/>
              </w:rPr>
              <w:t>Учасником – фізичною особою, яка є громадянином Російської Федерації</w:t>
            </w:r>
            <w:r w:rsidR="00FF32F8" w:rsidRPr="001F3891">
              <w:rPr>
                <w:rFonts w:ascii="Times New Roman" w:eastAsia="Times New Roman" w:hAnsi="Times New Roman" w:cs="Times New Roman"/>
                <w:sz w:val="24"/>
                <w:szCs w:val="24"/>
                <w:highlight w:val="white"/>
              </w:rPr>
              <w:t xml:space="preserve"> / Республіки Білорусь,</w:t>
            </w:r>
            <w:r w:rsidRPr="001F3891">
              <w:rPr>
                <w:rFonts w:ascii="Times New Roman" w:eastAsia="Times New Roman" w:hAnsi="Times New Roman" w:cs="Times New Roman"/>
                <w:sz w:val="24"/>
                <w:szCs w:val="24"/>
              </w:rPr>
              <w:t>;</w:t>
            </w:r>
          </w:p>
          <w:p w:rsidR="00B25B98" w:rsidRPr="001F3891" w:rsidRDefault="001F3891" w:rsidP="001F3891">
            <w:pPr>
              <w:pStyle w:val="a4"/>
              <w:numPr>
                <w:ilvl w:val="0"/>
                <w:numId w:val="2"/>
              </w:numPr>
              <w:spacing w:after="0" w:line="240" w:lineRule="auto"/>
              <w:ind w:right="120"/>
              <w:jc w:val="both"/>
              <w:rPr>
                <w:rFonts w:ascii="Times New Roman" w:eastAsia="Times New Roman" w:hAnsi="Times New Roman" w:cs="Times New Roman"/>
                <w:sz w:val="24"/>
                <w:szCs w:val="24"/>
              </w:rPr>
            </w:pPr>
            <w:r w:rsidRPr="001F3891">
              <w:rPr>
                <w:rFonts w:ascii="Times New Roman" w:eastAsia="Times New Roman" w:hAnsi="Times New Roman" w:cs="Times New Roman"/>
                <w:sz w:val="24"/>
                <w:szCs w:val="24"/>
              </w:rPr>
              <w:t xml:space="preserve">Учасником – юридичною особою, кінцевим </w:t>
            </w:r>
            <w:proofErr w:type="spellStart"/>
            <w:r w:rsidRPr="001F3891">
              <w:rPr>
                <w:rFonts w:ascii="Times New Roman" w:eastAsia="Times New Roman" w:hAnsi="Times New Roman" w:cs="Times New Roman"/>
                <w:sz w:val="24"/>
                <w:szCs w:val="24"/>
              </w:rPr>
              <w:t>бенефіціарним</w:t>
            </w:r>
            <w:proofErr w:type="spellEnd"/>
            <w:r w:rsidRPr="001F3891">
              <w:rPr>
                <w:rFonts w:ascii="Times New Roman" w:eastAsia="Times New Roman" w:hAnsi="Times New Roman" w:cs="Times New Roman"/>
                <w:sz w:val="24"/>
                <w:szCs w:val="24"/>
              </w:rPr>
              <w:t xml:space="preserve"> власником якої є громадянин Російської Федерації</w:t>
            </w:r>
            <w:r w:rsidR="00FF32F8" w:rsidRPr="001F3891">
              <w:rPr>
                <w:rFonts w:ascii="Times New Roman" w:eastAsia="Times New Roman" w:hAnsi="Times New Roman" w:cs="Times New Roman"/>
                <w:sz w:val="24"/>
                <w:szCs w:val="24"/>
                <w:highlight w:val="white"/>
              </w:rPr>
              <w:t xml:space="preserve"> / Республіки Білорусь,</w:t>
            </w:r>
            <w:r w:rsidRPr="001F3891">
              <w:rPr>
                <w:rFonts w:ascii="Times New Roman" w:eastAsia="Times New Roman" w:hAnsi="Times New Roman" w:cs="Times New Roman"/>
                <w:sz w:val="24"/>
                <w:szCs w:val="24"/>
              </w:rPr>
              <w:t>.</w:t>
            </w:r>
          </w:p>
        </w:tc>
      </w:tr>
      <w:tr w:rsidR="00B25B98">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00F47D6E">
              <w:rPr>
                <w:rFonts w:ascii="Times New Roman" w:eastAsia="Times New Roman" w:hAnsi="Times New Roman" w:cs="Times New Roman"/>
                <w:sz w:val="24"/>
                <w:szCs w:val="24"/>
                <w:highlight w:val="white"/>
              </w:rPr>
              <w:t xml:space="preserve"> / Республіки Білорусь</w:t>
            </w:r>
            <w:r>
              <w:rPr>
                <w:rFonts w:ascii="Times New Roman" w:eastAsia="Times New Roman" w:hAnsi="Times New Roman" w:cs="Times New Roman"/>
                <w:sz w:val="24"/>
                <w:szCs w:val="24"/>
              </w:rPr>
              <w:t>.</w:t>
            </w:r>
          </w:p>
        </w:tc>
      </w:tr>
    </w:tbl>
    <w:p w:rsidR="00B25B98" w:rsidRDefault="00B25B98">
      <w:pPr>
        <w:spacing w:after="0" w:line="240" w:lineRule="auto"/>
        <w:jc w:val="both"/>
        <w:rPr>
          <w:rFonts w:ascii="Times New Roman" w:eastAsia="Times New Roman" w:hAnsi="Times New Roman" w:cs="Times New Roman"/>
          <w:b/>
          <w:sz w:val="24"/>
          <w:szCs w:val="24"/>
          <w:highlight w:val="yellow"/>
        </w:rPr>
      </w:pPr>
    </w:p>
    <w:sectPr w:rsidR="00B25B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CE8"/>
    <w:multiLevelType w:val="multilevel"/>
    <w:tmpl w:val="BE02E81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15AC0CE7"/>
    <w:multiLevelType w:val="hybridMultilevel"/>
    <w:tmpl w:val="B69C067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25B98"/>
    <w:rsid w:val="000C60A8"/>
    <w:rsid w:val="00147BCC"/>
    <w:rsid w:val="001F3891"/>
    <w:rsid w:val="00221F7B"/>
    <w:rsid w:val="008925EA"/>
    <w:rsid w:val="00B12631"/>
    <w:rsid w:val="00B25B98"/>
    <w:rsid w:val="00C96805"/>
    <w:rsid w:val="00DF0F0F"/>
    <w:rsid w:val="00EB401F"/>
    <w:rsid w:val="00EC1968"/>
    <w:rsid w:val="00F25769"/>
    <w:rsid w:val="00F47D6E"/>
    <w:rsid w:val="00FF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HPkfhZKPxv6+PpWj8VdTzt22Q==">AMUW2mWfHV2q94IvLMTwxmpRbI/cyAI09V7tdulkNoF5ObSwNlpJeLSc7oq2TNMsOseZsti81wBfBmzVrdmGva4tzHErl3wjcFYbx8x8dR33yqx6BAb/PTAtRIm/YjUczwlsc+uhP5sAqEH6mJLY3uAmGZmbbuyuY1xC/cg0EEind4tx12bjVvctPRKZWzQYuwp+5/bTUnIU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LIvanova</cp:lastModifiedBy>
  <cp:revision>7</cp:revision>
  <dcterms:created xsi:type="dcterms:W3CDTF">2022-12-01T16:41:00Z</dcterms:created>
  <dcterms:modified xsi:type="dcterms:W3CDTF">2022-12-02T12:51:00Z</dcterms:modified>
</cp:coreProperties>
</file>