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8716" w14:textId="77777777" w:rsidR="007114D9" w:rsidRDefault="00375102" w:rsidP="0065456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3D8E6116" w14:textId="77777777" w:rsidR="007114D9" w:rsidRDefault="003751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1A2F59D8" w14:textId="77777777" w:rsidR="007114D9" w:rsidRDefault="003751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25966692" w14:textId="77777777" w:rsidR="007114D9" w:rsidRDefault="0037510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5E9C43C" w14:textId="118A0708" w:rsidR="007114D9" w:rsidRPr="00375102" w:rsidRDefault="00375102" w:rsidP="00375102">
      <w:pPr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i/>
          <w:color w:val="4A86E8"/>
        </w:rPr>
      </w:pPr>
      <w:r w:rsidRPr="0037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FF02BC" w:rsidRPr="0037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 w:rsidRPr="0037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FF02BC" w:rsidRPr="0037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 w:rsidRPr="0037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14:paraId="4419F96E" w14:textId="77777777" w:rsidR="007114D9" w:rsidRDefault="007114D9" w:rsidP="00375102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114D9" w14:paraId="7779F51A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2BD50" w14:textId="77777777" w:rsidR="007114D9" w:rsidRDefault="003751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5836D" w14:textId="77777777" w:rsidR="007114D9" w:rsidRDefault="003751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FAC84" w14:textId="77777777" w:rsidR="007114D9" w:rsidRPr="00654560" w:rsidRDefault="003751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5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</w:t>
            </w:r>
            <w:r w:rsidRPr="00654560">
              <w:rPr>
                <w:rFonts w:ascii="Times New Roman" w:eastAsia="Times New Roman" w:hAnsi="Times New Roman" w:cs="Times New Roman"/>
                <w:b/>
              </w:rPr>
              <w:t xml:space="preserve">та інформація, які підтверджують відповідність Учасника кваліфікаційним </w:t>
            </w:r>
            <w:r w:rsidRPr="0065456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критеріям**</w:t>
            </w:r>
          </w:p>
        </w:tc>
      </w:tr>
      <w:tr w:rsidR="007114D9" w14:paraId="5410D258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A350" w14:textId="341F287A" w:rsidR="007114D9" w:rsidRPr="008C7BDE" w:rsidRDefault="00E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49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1CE3" w14:textId="77777777" w:rsidR="007114D9" w:rsidRDefault="0037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96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0371" w14:textId="7F54D25D" w:rsidR="00DA0F62" w:rsidRPr="00E94196" w:rsidRDefault="00F74681" w:rsidP="00DA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DA0F62" w:rsidRPr="00E94196">
              <w:rPr>
                <w:rFonts w:ascii="Times New Roman" w:eastAsia="Times New Roman" w:hAnsi="Times New Roman" w:cs="Times New Roman"/>
                <w:color w:val="00000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75CDE3D" w14:textId="77777777" w:rsidR="00DA0F62" w:rsidRPr="00E94196" w:rsidRDefault="00DA0F62" w:rsidP="00DA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4196">
              <w:rPr>
                <w:rFonts w:ascii="Times New Roman" w:eastAsia="Times New Roman" w:hAnsi="Times New Roman" w:cs="Times New Roman"/>
                <w:color w:val="000000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70F23E5" w14:textId="5A3D57B9" w:rsidR="00F74681" w:rsidRPr="008C7BDE" w:rsidRDefault="00DA0F62" w:rsidP="00F74681">
            <w:pPr>
              <w:pStyle w:val="afb"/>
              <w:jc w:val="both"/>
              <w:rPr>
                <w:b/>
                <w:i/>
                <w:noProof/>
                <w:u w:val="single"/>
                <w:lang w:val="uk-UA"/>
              </w:rPr>
            </w:pPr>
            <w:r w:rsidRPr="00A444CB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u w:val="single"/>
                <w:lang w:val="uk-UA"/>
              </w:rPr>
              <w:t xml:space="preserve">під аналогічним договором слід розуміти договір на поставку товарів, </w:t>
            </w:r>
            <w:r w:rsidRPr="008C7BDE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u w:val="single"/>
                <w:lang w:val="uk-UA"/>
              </w:rPr>
              <w:t xml:space="preserve">у відповідністі до найменувань предмету закупівлі відповідного коду </w:t>
            </w:r>
            <w:r w:rsidR="008C7BDE" w:rsidRPr="008C7B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ДК 021:2015 – 09130000-9– Нафта і дистиляти (Бензин А-95, Дизельне паливо по талонам, скретч-картам)</w:t>
            </w:r>
          </w:p>
          <w:p w14:paraId="23C1D6B0" w14:textId="234A52BF" w:rsidR="00F74681" w:rsidRDefault="00F74681" w:rsidP="00F74681">
            <w:pPr>
              <w:pStyle w:val="afb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F74681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3.1.2.У</w:t>
            </w:r>
            <w:r w:rsidRPr="00F74681">
              <w:rPr>
                <w:rFonts w:ascii="Times New Roman" w:eastAsia="Times New Roman" w:hAnsi="Times New Roman" w:cs="Times New Roman"/>
                <w:bCs/>
                <w:iCs/>
                <w:color w:val="000000"/>
                <w:position w:val="-1"/>
                <w:sz w:val="24"/>
                <w:szCs w:val="24"/>
                <w:lang w:val="uk-UA"/>
              </w:rPr>
              <w:t>ча</w:t>
            </w:r>
            <w:r w:rsidRPr="00F74681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4"/>
                <w:szCs w:val="24"/>
                <w:lang w:val="uk-UA"/>
              </w:rPr>
              <w:t>сник</w:t>
            </w:r>
            <w:r w:rsidRPr="00F7468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 надає Довідку, у довільній формі, завірена підписом уповноваженої особи та відбитком печатки учасника, з підтвердженням наявності досвіду виконання аналогічного договору.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Довідка повинна містити назви та адреси замовника (замовників), П.І.Б. і телефони контактних осіб замовника.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</w:p>
          <w:p w14:paraId="5E55E904" w14:textId="2F3523BC" w:rsidR="00F74681" w:rsidRDefault="00F74681" w:rsidP="00F74681">
            <w:pPr>
              <w:tabs>
                <w:tab w:val="left" w:pos="284"/>
              </w:tabs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ab/>
              <w:t xml:space="preserve">До довідки додати не менше двох засвідчених учасником копій договору з доказами належного виконання такого договору. Учасники </w:t>
            </w:r>
            <w:r w:rsidR="0049601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 w:eastAsia="ru-RU"/>
              </w:rPr>
              <w:t>мають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надати копії листів-відгуків* вказаних у довідці підприємств, установ, організацій.</w:t>
            </w:r>
          </w:p>
          <w:p w14:paraId="058E7CF9" w14:textId="77777777" w:rsidR="00F74681" w:rsidRDefault="00F74681" w:rsidP="00F74681">
            <w:pPr>
              <w:tabs>
                <w:tab w:val="left" w:pos="284"/>
              </w:tabs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  <w:p w14:paraId="20D91872" w14:textId="77777777" w:rsidR="00F74681" w:rsidRDefault="00F74681" w:rsidP="00F74681">
            <w:pP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* Лист-відгук повинен бути оформлений на фірмовому бланку підприємства, організації (контрагента учасника) за підписом керівника або уповноваженої особи, з зазначенням предмету виконаного договору/переліку поставленого товару, П.І.Б., і посади особи.</w:t>
            </w:r>
          </w:p>
          <w:p w14:paraId="12CB7E88" w14:textId="77777777" w:rsidR="00F74681" w:rsidRPr="00F0574A" w:rsidRDefault="00F74681" w:rsidP="00DA0F62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141A914C" w14:textId="77777777" w:rsidR="00DA0F62" w:rsidRPr="00B46CAD" w:rsidRDefault="00DA0F62" w:rsidP="00DA0F6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6CA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 Замовниками згідно з договорами можуть бути суб’єкти будь-якої форми власності</w:t>
            </w:r>
            <w:r w:rsidRPr="00B46CAD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14:paraId="5A44D6AB" w14:textId="77777777" w:rsidR="00DA0F62" w:rsidRPr="00B46CAD" w:rsidRDefault="00DA0F62" w:rsidP="00DA0F62">
            <w:pPr>
              <w:widowControl w:val="0"/>
              <w:tabs>
                <w:tab w:val="left" w:pos="0"/>
                <w:tab w:val="left" w:pos="142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u w:val="single"/>
                <w:lang w:val="uk-UA" w:eastAsia="ru-RU"/>
              </w:rPr>
            </w:pPr>
            <w:r w:rsidRPr="00B46CAD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ab/>
            </w:r>
            <w:r w:rsidRPr="00B46CAD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ab/>
              <w:t>Інформація викладена в договорі, яку учасник на підставі статті 505 Цивільного Кодексу України вважає комерційною таємницею, може бути заретушована учасником торгів. 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ціна, його обсяг та склад, визначений у договорі та/або у додатках до нього, строк та назва сторони в Договорі.</w:t>
            </w:r>
          </w:p>
          <w:p w14:paraId="6F0A762B" w14:textId="77777777" w:rsidR="00DA0F62" w:rsidRPr="00E94196" w:rsidRDefault="00DA0F62" w:rsidP="00DA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7F6434B2" w14:textId="77777777" w:rsidR="00DA0F62" w:rsidRPr="00F74681" w:rsidRDefault="00DA0F62" w:rsidP="00DA0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34BD0FB8" w14:textId="37C0ED1A" w:rsidR="007114D9" w:rsidRDefault="0071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626545" w14:textId="77777777" w:rsidR="007114D9" w:rsidRPr="00E94196" w:rsidRDefault="0037510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94196">
        <w:rPr>
          <w:rFonts w:ascii="Times New Roman" w:eastAsia="Times New Roman" w:hAnsi="Times New Roman" w:cs="Times New Roman"/>
          <w:i/>
          <w:color w:val="00000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DD3BFBC" w14:textId="77777777" w:rsidR="007114D9" w:rsidRPr="00E94196" w:rsidRDefault="00375102" w:rsidP="00E94196">
      <w:pPr>
        <w:pStyle w:val="a6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E9419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Підтвердження відповідності УЧАСНИКА </w:t>
      </w:r>
      <w:r w:rsidRPr="00E94196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E94196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14:paraId="6F6F8DEC" w14:textId="77777777" w:rsidR="00E94196" w:rsidRPr="00E94196" w:rsidRDefault="00E94196" w:rsidP="00E94196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196C584F" w14:textId="77777777" w:rsidR="0080277A" w:rsidRPr="0080277A" w:rsidRDefault="0080277A" w:rsidP="00802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0277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6C84956E" w14:textId="77777777" w:rsidR="0080277A" w:rsidRPr="0080277A" w:rsidRDefault="0080277A" w:rsidP="00802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0277A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56588C9" w14:textId="77777777" w:rsidR="0080277A" w:rsidRPr="0080277A" w:rsidRDefault="0080277A" w:rsidP="00802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7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133D492F" w14:textId="77777777" w:rsidR="0080277A" w:rsidRPr="0080277A" w:rsidRDefault="0080277A" w:rsidP="008027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277A">
        <w:rPr>
          <w:rFonts w:ascii="Times New Roman" w:eastAsia="Times New Roman" w:hAnsi="Times New Roman" w:cs="Times New Roman"/>
          <w:i/>
          <w:sz w:val="24"/>
          <w:szCs w:val="24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312D5276" w14:textId="77777777" w:rsidR="0080277A" w:rsidRPr="0080277A" w:rsidRDefault="0080277A" w:rsidP="008027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7A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80277A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закупівлі)</w:t>
      </w:r>
      <w:r w:rsidRPr="0080277A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41A606BC" w14:textId="77777777" w:rsidR="007114D9" w:rsidRPr="0080277A" w:rsidRDefault="007114D9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D442C" w14:textId="77777777" w:rsidR="007114D9" w:rsidRPr="0080277A" w:rsidRDefault="00375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0277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0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 w:rsidRPr="0080277A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8027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80277A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8027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14:paraId="245957C0" w14:textId="77777777" w:rsidR="0080277A" w:rsidRPr="0080277A" w:rsidRDefault="0080277A" w:rsidP="008027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7A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8027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80277A">
        <w:rPr>
          <w:rFonts w:ascii="Times New Roman" w:eastAsia="Times New Roman" w:hAnsi="Times New Roman" w:cs="Times New Roman"/>
          <w:sz w:val="24"/>
          <w:szCs w:val="24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14:paraId="0C87DAB4" w14:textId="4EADE5B9" w:rsidR="0080277A" w:rsidRPr="0080277A" w:rsidRDefault="0080277A" w:rsidP="008027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7A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75CB870F" w14:textId="77777777" w:rsidR="008C7BDE" w:rsidRPr="001631D4" w:rsidRDefault="008C7BDE" w:rsidP="008C7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7BE91CF2" w14:textId="77777777" w:rsidR="0080277A" w:rsidRPr="0080277A" w:rsidRDefault="00375102" w:rsidP="00802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="0080277A" w:rsidRPr="0080277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3.1. Документи, які надаються  ПЕРЕМОЖЦЕМ (юридичною особою):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80277A" w:rsidRPr="0080277A" w14:paraId="7EE56E80" w14:textId="77777777" w:rsidTr="0080277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87822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14F592E3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802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BC79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14:paraId="191B35AB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8E14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80277A" w:rsidRPr="0080277A" w14:paraId="28DABE20" w14:textId="77777777" w:rsidTr="0080277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3184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16919" w14:textId="77777777" w:rsidR="0080277A" w:rsidRPr="0080277A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C59BD3F" w14:textId="77777777" w:rsidR="0080277A" w:rsidRPr="0080277A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DF992" w14:textId="77777777" w:rsidR="0080277A" w:rsidRPr="0080277A" w:rsidRDefault="008027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781C2E27" w14:textId="77777777" w:rsidR="0080277A" w:rsidRPr="0080277A" w:rsidRDefault="008027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</w:t>
            </w:r>
            <w:r w:rsidRPr="0080277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02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80277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14:paraId="6C237F62" w14:textId="77777777" w:rsidR="0080277A" w:rsidRPr="0080277A" w:rsidRDefault="0080277A">
            <w:pPr>
              <w:spacing w:after="0" w:line="254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02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80277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80277A" w:rsidRPr="0080277A" w14:paraId="2E223BA1" w14:textId="77777777" w:rsidTr="0080277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9E46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0DCA9" w14:textId="77777777" w:rsidR="0080277A" w:rsidRPr="0080277A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5EEE3B8D" w14:textId="77777777" w:rsidR="0080277A" w:rsidRPr="0080277A" w:rsidRDefault="008027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93C" w14:textId="77777777" w:rsidR="0080277A" w:rsidRPr="0080277A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71251AE7" w14:textId="77777777" w:rsidR="0080277A" w:rsidRPr="0080277A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78616B7" w14:textId="77777777" w:rsidR="0080277A" w:rsidRPr="0080277A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80277A" w:rsidRPr="0080277A" w14:paraId="1EF06589" w14:textId="77777777" w:rsidTr="0080277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65E76" w14:textId="77777777" w:rsidR="0080277A" w:rsidRPr="0080277A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2BFF0" w14:textId="77777777" w:rsidR="0080277A" w:rsidRPr="0080277A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B3A49C2" w14:textId="77777777" w:rsidR="0080277A" w:rsidRPr="0080277A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027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C5CC8" w14:textId="77777777" w:rsidR="0080277A" w:rsidRPr="0080277A" w:rsidRDefault="00802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0773FC6F" w14:textId="77777777" w:rsidR="0080277A" w:rsidRPr="0080277A" w:rsidRDefault="0080277A" w:rsidP="00802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1E542A" w14:textId="77777777" w:rsidR="0080277A" w:rsidRDefault="0080277A" w:rsidP="008027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08D6B7" w14:textId="77777777" w:rsidR="0080277A" w:rsidRDefault="0080277A" w:rsidP="008027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13D41C1" w14:textId="77777777" w:rsidR="0080277A" w:rsidRDefault="0080277A" w:rsidP="008027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B6696B3" w14:textId="77777777" w:rsidR="0080277A" w:rsidRDefault="0080277A" w:rsidP="008027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5D8DD94" w14:textId="6810B26F" w:rsidR="0080277A" w:rsidRPr="00EB6087" w:rsidRDefault="0080277A" w:rsidP="0080277A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EB6087">
        <w:rPr>
          <w:rFonts w:ascii="Times New Roman" w:eastAsia="Times New Roman" w:hAnsi="Times New Roman" w:cs="Times New Roman"/>
          <w:b/>
          <w:color w:val="000000"/>
        </w:rPr>
        <w:lastRenderedPageBreak/>
        <w:t>3.2. Документи, які надаються ПЕРЕМОЖЦЕМ (фізичною особою чи фізичною особою</w:t>
      </w:r>
      <w:r w:rsidRPr="00EB6087">
        <w:rPr>
          <w:rFonts w:ascii="Times New Roman" w:eastAsia="Times New Roman" w:hAnsi="Times New Roman" w:cs="Times New Roman"/>
          <w:b/>
        </w:rPr>
        <w:t xml:space="preserve"> — </w:t>
      </w:r>
      <w:r w:rsidRPr="00EB6087">
        <w:rPr>
          <w:rFonts w:ascii="Times New Roman" w:eastAsia="Times New Roman" w:hAnsi="Times New Roman" w:cs="Times New Roman"/>
          <w:b/>
          <w:color w:val="000000"/>
        </w:rPr>
        <w:t>підприємцем):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80277A" w:rsidRPr="00EB6087" w14:paraId="3002C458" w14:textId="77777777" w:rsidTr="0080277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973F8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24A2DEF1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81F8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пункту 47 Особливостей</w:t>
            </w:r>
          </w:p>
          <w:p w14:paraId="6039C655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A9069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торгів на виконання вимоги згідно пункту 47 Особ</w:t>
            </w:r>
            <w:r w:rsidRPr="00EB6087">
              <w:rPr>
                <w:rFonts w:ascii="Times New Roman" w:eastAsia="Times New Roman" w:hAnsi="Times New Roman" w:cs="Times New Roman"/>
                <w:b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80277A" w:rsidRPr="00EB6087" w14:paraId="62A7849A" w14:textId="77777777" w:rsidTr="0080277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32048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A72D3" w14:textId="77777777" w:rsidR="0080277A" w:rsidRPr="00EB6087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FC3EE7B" w14:textId="77777777" w:rsidR="0080277A" w:rsidRPr="00EB6087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0B8C1" w14:textId="77777777" w:rsidR="0080277A" w:rsidRPr="00EB6087" w:rsidRDefault="008027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42DC964F" w14:textId="77777777" w:rsidR="0080277A" w:rsidRPr="00EB6087" w:rsidRDefault="0080277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6087">
              <w:rPr>
                <w:rFonts w:ascii="Times New Roman" w:eastAsia="Times New Roman" w:hAnsi="Times New Roman" w:cs="Times New Roman"/>
                <w:i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B608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>свою роботу, так і відкриватись, поновлюватись у період воєнного стану.</w:t>
            </w:r>
          </w:p>
          <w:p w14:paraId="237F3881" w14:textId="77777777" w:rsidR="0080277A" w:rsidRPr="00EB6087" w:rsidRDefault="0080277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</w:pPr>
            <w:r w:rsidRPr="00EB6087">
              <w:rPr>
                <w:rFonts w:ascii="Times New Roman" w:eastAsia="Times New Roman" w:hAnsi="Times New Roman" w:cs="Times New Roman"/>
                <w:i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EB608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B6087">
              <w:rPr>
                <w:rFonts w:ascii="Times New Roman" w:eastAsia="Times New Roman" w:hAnsi="Times New Roman" w:cs="Times New Roman"/>
                <w:b/>
                <w:i/>
              </w:rPr>
              <w:t>фізичної особи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80277A" w:rsidRPr="00EB6087" w14:paraId="1C88DC54" w14:textId="77777777" w:rsidTr="0080277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6FCAF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89F43" w14:textId="77777777" w:rsidR="0080277A" w:rsidRPr="00EB6087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EB2B770" w14:textId="77777777" w:rsidR="0080277A" w:rsidRPr="00EB6087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2551" w14:textId="77777777" w:rsidR="0080277A" w:rsidRPr="00EB6087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0888845" w14:textId="77777777" w:rsidR="0080277A" w:rsidRPr="00EB6087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0E06B7F" w14:textId="77777777" w:rsidR="0080277A" w:rsidRPr="00EB6087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 повинен бути виданий/ сформований/ отриманий в поточному році.</w:t>
            </w:r>
            <w:r w:rsidRPr="00EB60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77A" w:rsidRPr="00EB6087" w14:paraId="1367994E" w14:textId="77777777" w:rsidTr="0080277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9394A" w14:textId="77777777" w:rsidR="0080277A" w:rsidRPr="00EB6087" w:rsidRDefault="008027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608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79D41" w14:textId="77777777" w:rsidR="0080277A" w:rsidRPr="00EB6087" w:rsidRDefault="0080277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578AA7E" w14:textId="77777777" w:rsidR="0080277A" w:rsidRPr="00EB6087" w:rsidRDefault="0080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1827B" w14:textId="77777777" w:rsidR="0080277A" w:rsidRPr="00EB6087" w:rsidRDefault="0080277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870F91D" w14:textId="77777777" w:rsidR="0080277A" w:rsidRPr="00EB6087" w:rsidRDefault="0080277A" w:rsidP="0080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4908567B" w14:textId="77777777" w:rsidR="008C7BDE" w:rsidRPr="00EB6087" w:rsidRDefault="008C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3A1643" w14:textId="2D70C224" w:rsidR="0080277A" w:rsidRPr="00EB6087" w:rsidRDefault="00375102" w:rsidP="0080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B6087">
        <w:rPr>
          <w:rFonts w:ascii="Times New Roman" w:eastAsia="Times New Roman" w:hAnsi="Times New Roman" w:cs="Times New Roman"/>
          <w:b/>
          <w:color w:val="000000"/>
        </w:rPr>
        <w:lastRenderedPageBreak/>
        <w:t>4</w:t>
      </w:r>
      <w:r w:rsidR="0080277A" w:rsidRPr="00EB6087">
        <w:rPr>
          <w:rFonts w:ascii="Times New Roman" w:eastAsia="Times New Roman" w:hAnsi="Times New Roman" w:cs="Times New Roman"/>
          <w:b/>
          <w:color w:val="000000"/>
        </w:rPr>
        <w:t xml:space="preserve">. Інша інформація встановлена відповідно до законодавства (для УЧАСНИКІВ </w:t>
      </w:r>
      <w:r w:rsidR="0080277A" w:rsidRPr="00EB6087">
        <w:rPr>
          <w:rFonts w:ascii="Times New Roman" w:eastAsia="Times New Roman" w:hAnsi="Times New Roman" w:cs="Times New Roman"/>
          <w:b/>
        </w:rPr>
        <w:t>—</w:t>
      </w:r>
      <w:r w:rsidR="0080277A" w:rsidRPr="00EB6087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="0080277A" w:rsidRPr="00EB6087">
        <w:rPr>
          <w:rFonts w:ascii="Times New Roman" w:eastAsia="Times New Roman" w:hAnsi="Times New Roman" w:cs="Times New Roman"/>
          <w:b/>
        </w:rPr>
        <w:t xml:space="preserve"> — </w:t>
      </w:r>
      <w:r w:rsidR="0080277A" w:rsidRPr="00EB6087">
        <w:rPr>
          <w:rFonts w:ascii="Times New Roman" w:eastAsia="Times New Roman" w:hAnsi="Times New Roman" w:cs="Times New Roman"/>
          <w:b/>
          <w:color w:val="000000"/>
        </w:rPr>
        <w:t>підприємців)</w:t>
      </w:r>
      <w:r w:rsidR="0080277A" w:rsidRPr="00EB6087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0277A" w:rsidRPr="00EB6087" w14:paraId="7FC3222B" w14:textId="77777777" w:rsidTr="00C21A5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C555" w14:textId="77777777" w:rsidR="0080277A" w:rsidRPr="00EB6087" w:rsidRDefault="0080277A" w:rsidP="00C21A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80277A" w:rsidRPr="00EB6087" w14:paraId="349D9344" w14:textId="77777777" w:rsidTr="00C21A5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D915" w14:textId="77777777" w:rsidR="0080277A" w:rsidRPr="00EB6087" w:rsidRDefault="0080277A" w:rsidP="00C21A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F870" w14:textId="77777777" w:rsidR="0080277A" w:rsidRPr="00EB6087" w:rsidRDefault="0080277A" w:rsidP="00C21A5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color w:val="00000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B6087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EB6087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0277A" w:rsidRPr="00EB6087" w14:paraId="364D128F" w14:textId="77777777" w:rsidTr="00C21A5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627C" w14:textId="77777777" w:rsidR="0080277A" w:rsidRPr="00EB6087" w:rsidRDefault="0080277A" w:rsidP="00C21A5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ED2A" w14:textId="77777777" w:rsidR="0080277A" w:rsidRPr="00EB6087" w:rsidRDefault="0080277A" w:rsidP="00C21A5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6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EB6087">
              <w:rPr>
                <w:rFonts w:ascii="Times New Roman" w:eastAsia="Times New Roman" w:hAnsi="Times New Roman" w:cs="Times New Roman"/>
              </w:rPr>
              <w:t>у</w:t>
            </w:r>
            <w:r w:rsidRPr="00EB6087">
              <w:rPr>
                <w:rFonts w:ascii="Times New Roman" w:eastAsia="Times New Roman" w:hAnsi="Times New Roman" w:cs="Times New Roman"/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EB608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14:paraId="680C2DFC" w14:textId="77777777" w:rsidR="0080277A" w:rsidRPr="00EB6087" w:rsidRDefault="0080277A" w:rsidP="00C21A5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  <w:i/>
                <w:color w:val="00000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80277A" w14:paraId="6E679D43" w14:textId="77777777" w:rsidTr="00C21A5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D503" w14:textId="77777777" w:rsidR="0080277A" w:rsidRDefault="0080277A" w:rsidP="00C21A5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9E7F" w14:textId="77777777" w:rsidR="0080277A" w:rsidRPr="00EB6087" w:rsidRDefault="0080277A" w:rsidP="00C2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B6087">
              <w:rPr>
                <w:rFonts w:ascii="Times New Roman" w:eastAsia="Times New Roman" w:hAnsi="Times New Roman" w:cs="Times New Roman"/>
                <w:highlight w:val="white"/>
              </w:rPr>
              <w:t xml:space="preserve">Ісламської Республіки Іран </w:t>
            </w:r>
            <w:r w:rsidRPr="00EB6087">
              <w:rPr>
                <w:rFonts w:ascii="Times New Roman" w:eastAsia="Times New Roman" w:hAnsi="Times New Roman" w:cs="Times New Roman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15DA2FC7" w14:textId="77777777" w:rsidR="0080277A" w:rsidRPr="00EB6087" w:rsidRDefault="0080277A" w:rsidP="00C2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087">
              <w:rPr>
                <w:rFonts w:ascii="Times New Roman" w:eastAsia="Times New Roman" w:hAnsi="Times New Roman" w:cs="Times New Roman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br/>
            </w:r>
            <w:r w:rsidRPr="00EB6087">
              <w:rPr>
                <w:rFonts w:ascii="Times New Roman" w:eastAsia="Times New Roman" w:hAnsi="Times New Roman" w:cs="Times New Roman"/>
              </w:rPr>
              <w:t xml:space="preserve"> • посвідчення особи, яка потребує додаткового захисту в Україні,</w:t>
            </w:r>
            <w:r w:rsidRPr="00EB6087">
              <w:rPr>
                <w:rFonts w:ascii="Times New Roman" w:eastAsia="Times New Roman" w:hAnsi="Times New Roman" w:cs="Times New Roman"/>
              </w:rPr>
              <w:br/>
            </w:r>
            <w:r w:rsidRPr="00EB6087">
              <w:rPr>
                <w:rFonts w:ascii="Times New Roman" w:eastAsia="Times New Roman" w:hAnsi="Times New Roman" w:cs="Times New Roman"/>
                <w:i/>
              </w:rPr>
              <w:t xml:space="preserve"> або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•    посвідчення особи, якій надано тимчасовий захист в Україні,</w:t>
            </w:r>
            <w:r w:rsidRPr="00EB6087">
              <w:rPr>
                <w:rFonts w:ascii="Times New Roman" w:eastAsia="Times New Roman" w:hAnsi="Times New Roman" w:cs="Times New Roman"/>
              </w:rPr>
              <w:br/>
            </w:r>
            <w:r w:rsidRPr="00EB6087">
              <w:rPr>
                <w:rFonts w:ascii="Times New Roman" w:eastAsia="Times New Roman" w:hAnsi="Times New Roman" w:cs="Times New Roman"/>
                <w:i/>
              </w:rPr>
              <w:t xml:space="preserve"> або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B6087">
              <w:rPr>
                <w:rFonts w:ascii="Times New Roman" w:eastAsia="Times New Roman" w:hAnsi="Times New Roman" w:cs="Times New Roman"/>
              </w:rPr>
              <w:br/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• Ухвалу слідчого судді, суду, щодо арешту активів,</w:t>
            </w:r>
            <w:r w:rsidRPr="00EB6087">
              <w:rPr>
                <w:rFonts w:ascii="Times New Roman" w:eastAsia="Times New Roman" w:hAnsi="Times New Roman" w:cs="Times New Roman"/>
              </w:rPr>
              <w:br/>
            </w:r>
            <w:r w:rsidRPr="00EB6087">
              <w:rPr>
                <w:rFonts w:ascii="Times New Roman" w:eastAsia="Times New Roman" w:hAnsi="Times New Roman" w:cs="Times New Roman"/>
                <w:i/>
              </w:rPr>
              <w:t xml:space="preserve"> або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br/>
            </w:r>
            <w:r w:rsidRPr="00EB6087">
              <w:rPr>
                <w:rFonts w:ascii="Times New Roman" w:eastAsia="Times New Roman" w:hAnsi="Times New Roman" w:cs="Times New Roman"/>
              </w:rPr>
              <w:t xml:space="preserve"> • Нотаріально засвідчену копію згоди власника, щодо управління активами,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а також: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EB6087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EB6087">
              <w:rPr>
                <w:rFonts w:ascii="Times New Roman" w:eastAsia="Times New Roman" w:hAnsi="Times New Roman" w:cs="Times New Roman"/>
                <w:i/>
              </w:rPr>
              <w:br/>
            </w:r>
            <w:r w:rsidRPr="00EB6087">
              <w:rPr>
                <w:rFonts w:ascii="Times New Roman" w:eastAsia="Times New Roman" w:hAnsi="Times New Roman" w:cs="Times New Roman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695FD160" w14:textId="1809077B" w:rsidR="007114D9" w:rsidRDefault="007114D9" w:rsidP="0080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F02D2A" w14:textId="77777777" w:rsidR="007114D9" w:rsidRDefault="0071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084AD" w14:textId="78A95EF9" w:rsidR="00F65ED0" w:rsidRPr="002B5912" w:rsidRDefault="00F65ED0" w:rsidP="00F65ED0">
      <w:pPr>
        <w:pStyle w:val="afb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2B5912">
        <w:rPr>
          <w:rFonts w:ascii="Times New Roman" w:hAnsi="Times New Roman" w:cs="Times New Roman"/>
        </w:rPr>
        <w:t xml:space="preserve"> </w:t>
      </w:r>
      <w:r w:rsidRPr="002B5912">
        <w:rPr>
          <w:rFonts w:ascii="Times New Roman" w:hAnsi="Times New Roman" w:cs="Times New Roman"/>
          <w:lang w:val="uk-UA"/>
        </w:rPr>
        <w:t>Учасник повинен надати</w:t>
      </w:r>
    </w:p>
    <w:p w14:paraId="726A9FA9" w14:textId="77777777" w:rsidR="00F65ED0" w:rsidRDefault="00F65ED0" w:rsidP="00F65ED0">
      <w:pPr>
        <w:pStyle w:val="afb"/>
        <w:jc w:val="both"/>
        <w:rPr>
          <w:rFonts w:ascii="Times New Roman" w:hAnsi="Times New Roman" w:cs="Times New Roman"/>
          <w:iCs/>
          <w:lang w:val="uk-UA"/>
        </w:rPr>
      </w:pPr>
      <w:r w:rsidRPr="002B5912">
        <w:rPr>
          <w:rFonts w:ascii="Times New Roman" w:hAnsi="Times New Roman" w:cs="Times New Roman"/>
          <w:lang w:val="uk-UA"/>
        </w:rPr>
        <w:t xml:space="preserve">- Підписану з боку Учасника пропозицію </w:t>
      </w:r>
      <w:r w:rsidRPr="002B5912">
        <w:rPr>
          <w:rFonts w:ascii="Times New Roman" w:hAnsi="Times New Roman" w:cs="Times New Roman"/>
          <w:iCs/>
          <w:lang w:val="uk-UA"/>
        </w:rPr>
        <w:t>(у відповідності з вимогами</w:t>
      </w:r>
      <w:r>
        <w:rPr>
          <w:rFonts w:ascii="Times New Roman" w:hAnsi="Times New Roman" w:cs="Times New Roman"/>
          <w:iCs/>
          <w:lang w:val="uk-UA"/>
        </w:rPr>
        <w:t xml:space="preserve"> до ТДК </w:t>
      </w:r>
      <w:r w:rsidRPr="002B5912">
        <w:rPr>
          <w:rFonts w:ascii="Times New Roman" w:hAnsi="Times New Roman" w:cs="Times New Roman"/>
          <w:iCs/>
          <w:lang w:val="uk-UA"/>
        </w:rPr>
        <w:t xml:space="preserve">); </w:t>
      </w:r>
    </w:p>
    <w:p w14:paraId="70EEB4EA" w14:textId="5C0978C2" w:rsidR="00F65ED0" w:rsidRPr="002B5912" w:rsidRDefault="00F65ED0" w:rsidP="00F65ED0">
      <w:pPr>
        <w:pStyle w:val="afb"/>
        <w:jc w:val="both"/>
        <w:rPr>
          <w:rFonts w:ascii="Times New Roman" w:hAnsi="Times New Roman" w:cs="Times New Roman"/>
          <w:iCs/>
          <w:lang w:val="uk-UA"/>
        </w:rPr>
      </w:pPr>
      <w:r w:rsidRPr="002B5912">
        <w:rPr>
          <w:rFonts w:ascii="Times New Roman" w:hAnsi="Times New Roman" w:cs="Times New Roman"/>
          <w:iCs/>
          <w:lang w:val="uk-UA"/>
        </w:rPr>
        <w:t>після завершення аукціону пропозиція коригується на заявлену суму в аукціоні.</w:t>
      </w:r>
    </w:p>
    <w:p w14:paraId="109F6D92" w14:textId="2CBD2B6E" w:rsidR="00F65ED0" w:rsidRPr="002B5912" w:rsidRDefault="00F65ED0" w:rsidP="00F65ED0">
      <w:pPr>
        <w:pStyle w:val="afb"/>
        <w:jc w:val="both"/>
        <w:rPr>
          <w:rFonts w:ascii="Times New Roman" w:hAnsi="Times New Roman" w:cs="Times New Roman"/>
        </w:rPr>
      </w:pPr>
      <w:r w:rsidRPr="002B5912">
        <w:rPr>
          <w:rFonts w:ascii="Times New Roman" w:hAnsi="Times New Roman" w:cs="Times New Roman"/>
          <w:lang w:val="uk-UA"/>
        </w:rPr>
        <w:t xml:space="preserve">- Підписану з боку Учасника технічну – специфікацію </w:t>
      </w:r>
      <w:r w:rsidRPr="002B5912">
        <w:rPr>
          <w:rFonts w:ascii="Times New Roman" w:hAnsi="Times New Roman" w:cs="Times New Roman"/>
          <w:iCs/>
          <w:lang w:val="uk-UA"/>
        </w:rPr>
        <w:t xml:space="preserve">(у відповідності з вимогами </w:t>
      </w:r>
      <w:r>
        <w:rPr>
          <w:rFonts w:ascii="Times New Roman" w:hAnsi="Times New Roman" w:cs="Times New Roman"/>
          <w:iCs/>
          <w:lang w:val="uk-UA"/>
        </w:rPr>
        <w:t>ТДК</w:t>
      </w:r>
      <w:r w:rsidRPr="002B5912">
        <w:rPr>
          <w:rFonts w:ascii="Times New Roman" w:hAnsi="Times New Roman" w:cs="Times New Roman"/>
          <w:iCs/>
          <w:lang w:val="uk-UA"/>
        </w:rPr>
        <w:t>)</w:t>
      </w:r>
    </w:p>
    <w:p w14:paraId="4F3B378E" w14:textId="2D2E8ED2" w:rsidR="00F65ED0" w:rsidRDefault="00F65ED0" w:rsidP="00F65ED0">
      <w:pPr>
        <w:pStyle w:val="afb"/>
        <w:jc w:val="both"/>
        <w:rPr>
          <w:rFonts w:ascii="Times New Roman" w:hAnsi="Times New Roman" w:cs="Times New Roman"/>
          <w:iCs/>
          <w:lang w:val="uk-UA"/>
        </w:rPr>
      </w:pPr>
      <w:r w:rsidRPr="002B5912">
        <w:rPr>
          <w:rFonts w:ascii="Times New Roman" w:hAnsi="Times New Roman" w:cs="Times New Roman"/>
          <w:iCs/>
          <w:lang w:val="uk-UA"/>
        </w:rPr>
        <w:t xml:space="preserve">- Підписаний з боку Учасника проект Договору (у відповідності з вимогами </w:t>
      </w:r>
      <w:r>
        <w:rPr>
          <w:rFonts w:ascii="Times New Roman" w:hAnsi="Times New Roman" w:cs="Times New Roman"/>
          <w:iCs/>
          <w:lang w:val="uk-UA"/>
        </w:rPr>
        <w:t xml:space="preserve"> ТДК</w:t>
      </w:r>
      <w:r w:rsidRPr="002B5912">
        <w:rPr>
          <w:rFonts w:ascii="Times New Roman" w:hAnsi="Times New Roman" w:cs="Times New Roman"/>
          <w:iCs/>
          <w:lang w:val="uk-UA"/>
        </w:rPr>
        <w:t>)</w:t>
      </w:r>
      <w:r w:rsidR="00F0574A">
        <w:rPr>
          <w:rFonts w:ascii="Times New Roman" w:hAnsi="Times New Roman" w:cs="Times New Roman"/>
          <w:iCs/>
          <w:lang w:val="uk-UA"/>
        </w:rPr>
        <w:t>.</w:t>
      </w:r>
    </w:p>
    <w:p w14:paraId="68015D34" w14:textId="460A615B" w:rsidR="007114D9" w:rsidRDefault="007114D9" w:rsidP="00F65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114D9" w:rsidSect="0049601F">
      <w:pgSz w:w="11906" w:h="16838"/>
      <w:pgMar w:top="454" w:right="794" w:bottom="45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4914"/>
    <w:multiLevelType w:val="multilevel"/>
    <w:tmpl w:val="84CA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251CA6"/>
    <w:multiLevelType w:val="multilevel"/>
    <w:tmpl w:val="9198F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A4728C"/>
    <w:multiLevelType w:val="multilevel"/>
    <w:tmpl w:val="6B4EF8A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3C9052F"/>
    <w:multiLevelType w:val="multilevel"/>
    <w:tmpl w:val="1144C7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7C53E8"/>
    <w:multiLevelType w:val="multilevel"/>
    <w:tmpl w:val="595A3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700BDC"/>
    <w:multiLevelType w:val="multilevel"/>
    <w:tmpl w:val="44865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E82355"/>
    <w:multiLevelType w:val="multilevel"/>
    <w:tmpl w:val="606A5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756690"/>
    <w:multiLevelType w:val="multilevel"/>
    <w:tmpl w:val="D90AD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D81E98"/>
    <w:multiLevelType w:val="multilevel"/>
    <w:tmpl w:val="D41A6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147C07"/>
    <w:multiLevelType w:val="multilevel"/>
    <w:tmpl w:val="DD98D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8C45915"/>
    <w:multiLevelType w:val="multilevel"/>
    <w:tmpl w:val="A500A4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E167012"/>
    <w:multiLevelType w:val="multilevel"/>
    <w:tmpl w:val="82264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D9"/>
    <w:rsid w:val="001631D4"/>
    <w:rsid w:val="00375102"/>
    <w:rsid w:val="0049601F"/>
    <w:rsid w:val="005B6512"/>
    <w:rsid w:val="00654560"/>
    <w:rsid w:val="006A16EF"/>
    <w:rsid w:val="007114D9"/>
    <w:rsid w:val="0080277A"/>
    <w:rsid w:val="008C7BDE"/>
    <w:rsid w:val="00A444CB"/>
    <w:rsid w:val="00CC2F37"/>
    <w:rsid w:val="00DA0F62"/>
    <w:rsid w:val="00E54282"/>
    <w:rsid w:val="00E92989"/>
    <w:rsid w:val="00E94196"/>
    <w:rsid w:val="00EB6087"/>
    <w:rsid w:val="00F0574A"/>
    <w:rsid w:val="00F44215"/>
    <w:rsid w:val="00F65ED0"/>
    <w:rsid w:val="00F746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D81"/>
  <w15:docId w15:val="{7EFAAA5D-F093-40C6-885B-73D9357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No Spacing"/>
    <w:uiPriority w:val="1"/>
    <w:qFormat/>
    <w:rsid w:val="00F65ED0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8943</Words>
  <Characters>5098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LybovV</cp:lastModifiedBy>
  <cp:revision>7</cp:revision>
  <dcterms:created xsi:type="dcterms:W3CDTF">2023-10-12T12:32:00Z</dcterms:created>
  <dcterms:modified xsi:type="dcterms:W3CDTF">2024-04-18T12:48:00Z</dcterms:modified>
</cp:coreProperties>
</file>