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 xml:space="preserve">     </w:t>
      </w:r>
    </w:p>
    <w:p>
      <w:pPr>
        <w:pStyle w:val="Normal"/>
        <w:spacing w:lineRule="auto" w:line="240" w:before="0" w:after="0"/>
        <w:jc w:val="center"/>
        <w:rPr>
          <w:lang w:val="uk-UA"/>
        </w:rPr>
      </w:pPr>
      <w:r>
        <w:rPr>
          <w:rFonts w:cs="Times New Roman" w:ascii="Times New Roman" w:hAnsi="Times New Roman"/>
          <w:b/>
          <w:bCs/>
          <w:sz w:val="32"/>
          <w:szCs w:val="32"/>
          <w:lang w:val="uk-UA"/>
        </w:rPr>
        <w:t>КУЧАКІВСЬКИЙ ЛІЦЕЙ ІМЕНІ ГЕТЬМАНА ІВАНА СУЛИМИ БОРИСПІЛЬСЬКОЇ МІСЬКОЇ РАДИ</w:t>
      </w:r>
    </w:p>
    <w:p>
      <w:pPr>
        <w:pStyle w:val="Normal"/>
        <w:spacing w:lineRule="auto" w:line="240" w:before="0" w:after="0"/>
        <w:jc w:val="center"/>
        <w:rPr>
          <w:lang w:val="uk-UA"/>
        </w:rPr>
      </w:pPr>
      <w:r>
        <w:rPr>
          <w:rFonts w:cs="Times New Roman" w:ascii="Times New Roman" w:hAnsi="Times New Roman"/>
          <w:b/>
          <w:bCs/>
          <w:sz w:val="32"/>
          <w:szCs w:val="32"/>
          <w:lang w:val="uk-UA"/>
        </w:rPr>
        <w:t>КИЇВСЬКОЇ ОБЛАСТІ</w:t>
      </w:r>
    </w:p>
    <w:tbl>
      <w:tblPr>
        <w:tblW w:w="9781" w:type="dxa"/>
        <w:jc w:val="left"/>
        <w:tblInd w:w="675" w:type="dxa"/>
        <w:tblLayout w:type="fixed"/>
        <w:tblCellMar>
          <w:top w:w="0" w:type="dxa"/>
          <w:left w:w="108" w:type="dxa"/>
          <w:bottom w:w="0" w:type="dxa"/>
          <w:right w:w="108" w:type="dxa"/>
        </w:tblCellMar>
        <w:tblLook w:firstRow="1" w:noVBand="0" w:lastRow="0" w:firstColumn="1" w:lastColumn="0" w:noHBand="0" w:val="00a0"/>
      </w:tblPr>
      <w:tblGrid>
        <w:gridCol w:w="4678"/>
        <w:gridCol w:w="5102"/>
      </w:tblGrid>
      <w:tr>
        <w:trPr>
          <w:trHeight w:val="2034" w:hRule="atLeast"/>
        </w:trPr>
        <w:tc>
          <w:tcPr>
            <w:tcW w:w="4678" w:type="dxa"/>
            <w:tcBorders/>
          </w:tcPr>
          <w:p>
            <w:pPr>
              <w:pStyle w:val="Normal"/>
              <w:widowControl w:val="false"/>
              <w:spacing w:lineRule="auto" w:line="240" w:before="0" w:after="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tc>
        <w:tc>
          <w:tcPr>
            <w:tcW w:w="5102" w:type="dxa"/>
            <w:tcBorders/>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t>ЗАТВЕРДЖЕНО</w:t>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t>РІШЕННЯМ УПОВНОВАЖЕНОЇ ОСОБИ</w:t>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t>ПРОТОКОЛ №15</w:t>
            </w:r>
          </w:p>
          <w:p>
            <w:pPr>
              <w:pStyle w:val="Normal"/>
              <w:widowControl w:val="false"/>
              <w:spacing w:lineRule="auto" w:line="240" w:before="0" w:after="0"/>
              <w:ind w:left="-108" w:hanging="0"/>
              <w:jc w:val="both"/>
              <w:rPr>
                <w:rFonts w:ascii="Times New Roman" w:hAnsi="Times New Roman" w:cs="Times New Roman"/>
                <w:b/>
                <w:b/>
                <w:sz w:val="24"/>
                <w:szCs w:val="24"/>
              </w:rPr>
            </w:pPr>
            <w:r>
              <w:rPr>
                <w:rFonts w:cs="Times New Roman" w:ascii="Times New Roman" w:hAnsi="Times New Roman"/>
                <w:b/>
                <w:bCs/>
                <w:sz w:val="24"/>
                <w:szCs w:val="24"/>
              </w:rPr>
              <w:t xml:space="preserve">ВІД </w:t>
            </w:r>
            <w:r>
              <w:rPr>
                <w:rFonts w:cs="Times New Roman" w:ascii="Times New Roman" w:hAnsi="Times New Roman"/>
                <w:b/>
                <w:sz w:val="24"/>
                <w:szCs w:val="24"/>
              </w:rPr>
              <w:t>«29» ЛЮТОГО  2024 року</w:t>
            </w:r>
          </w:p>
          <w:p>
            <w:pPr>
              <w:pStyle w:val="Normal"/>
              <w:widowControl w:val="false"/>
              <w:spacing w:lineRule="auto" w:line="240" w:before="0" w:after="0"/>
              <w:ind w:left="-108" w:hanging="0"/>
              <w:jc w:val="both"/>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tLeast" w:line="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 закупівлю товару</w:t>
      </w:r>
    </w:p>
    <w:p>
      <w:pPr>
        <w:pStyle w:val="Normal"/>
        <w:spacing w:lineRule="atLeast" w:line="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ind w:left="0" w:hanging="0"/>
        <w:jc w:val="center"/>
        <w:outlineLvl w:val="0"/>
        <w:rPr>
          <w:rFonts w:ascii="Times New Roman" w:hAnsi="Times New Roman" w:cs="Times New Roman"/>
          <w:b/>
          <w:b/>
          <w:bCs/>
          <w:i/>
          <w:i/>
          <w:sz w:val="24"/>
          <w:szCs w:val="24"/>
        </w:rPr>
      </w:pPr>
      <w:r>
        <w:rPr>
          <w:rFonts w:cs="Times New Roman" w:ascii="Times New Roman" w:hAnsi="Times New Roman"/>
          <w:bCs/>
          <w:color w:val="000000"/>
          <w:sz w:val="24"/>
          <w:szCs w:val="24"/>
          <w:lang w:eastAsia="en-US"/>
        </w:rPr>
        <w:t xml:space="preserve">Предмет закупівлі: </w:t>
      </w:r>
      <w:r>
        <w:rPr>
          <w:rFonts w:cs="Times New Roman" w:ascii="Times New Roman" w:hAnsi="Times New Roman"/>
          <w:b/>
          <w:bCs/>
          <w:i/>
          <w:color w:val="000000"/>
          <w:sz w:val="24"/>
          <w:szCs w:val="24"/>
          <w:lang w:eastAsia="en-US"/>
        </w:rPr>
        <w:t>«Сирні продукти»</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ДК 021-2015 (CPV): 15540000-5 - Сирні продукти)</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0" w:name="_heading=h.1fob9te"/>
      <w:bookmarkStart w:id="1" w:name="_heading=h.1fob9te"/>
      <w:bookmarkEnd w:id="1"/>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с. КУЧАКІВ – 2024</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bl>
      <w:tblPr>
        <w:tblStyle w:val="af5"/>
        <w:tblW w:w="9942"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2"/>
        <w:gridCol w:w="2805"/>
        <w:gridCol w:w="6435"/>
      </w:tblGrid>
      <w:tr>
        <w:trPr>
          <w:trHeight w:val="416" w:hRule="atLeast"/>
        </w:trPr>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Терміни, які використовуються </w:t>
            </w:r>
            <w:r>
              <w:rPr>
                <w:rFonts w:eastAsia="Times New Roman" w:cs="Times New Roman" w:ascii="Times New Roman" w:hAnsi="Times New Roman"/>
                <w:color w:val="000000"/>
                <w:sz w:val="24"/>
                <w:szCs w:val="24"/>
              </w:rPr>
              <w:t xml:space="preserve">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b/>
                <w:b/>
                <w:i/>
                <w:i/>
                <w:sz w:val="24"/>
                <w:szCs w:val="24"/>
              </w:rPr>
            </w:pPr>
            <w:r>
              <w:rPr>
                <w:rFonts w:cs="Times New Roman" w:ascii="Times New Roman" w:hAnsi="Times New Roman"/>
                <w:b/>
              </w:rPr>
              <w:t>Кучаківський ліцей імені гетьмана Івана Сулими Бориспільської міської ради Київської області</w:t>
            </w:r>
          </w:p>
        </w:tc>
      </w:tr>
      <w:tr>
        <w:trPr>
          <w:trHeight w:val="536"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08333, Україна, Київська область, село Кучаків, вулиця Гетьмана Івана Сулими,69а</w:t>
            </w:r>
          </w:p>
          <w:p>
            <w:pPr>
              <w:pStyle w:val="Normal"/>
              <w:widowControl w:val="false"/>
              <w:tabs>
                <w:tab w:val="clear" w:pos="720"/>
                <w:tab w:val="left" w:pos="6795" w:leader="none"/>
              </w:tabs>
              <w:jc w:val="both"/>
              <w:rPr>
                <w:rFonts w:ascii="Times New Roman" w:hAnsi="Times New Roman" w:cs="Times New Roman"/>
                <w:sz w:val="24"/>
                <w:szCs w:val="24"/>
              </w:rPr>
            </w:pPr>
            <w:r>
              <w:rPr>
                <w:rFonts w:cs="Times New Roman" w:ascii="Times New Roman" w:hAnsi="Times New Roman"/>
                <w:sz w:val="24"/>
                <w:szCs w:val="24"/>
              </w:rPr>
              <w:t>тел.: 0962456669</w:t>
            </w:r>
          </w:p>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sz w:val="24"/>
                <w:szCs w:val="24"/>
                <w:lang w:val="en-US"/>
              </w:rPr>
              <w:t>email</w:t>
            </w:r>
            <w:r>
              <w:rPr>
                <w:rFonts w:cs="Times New Roman" w:ascii="Times New Roman" w:hAnsi="Times New Roman"/>
                <w:sz w:val="24"/>
                <w:szCs w:val="24"/>
              </w:rPr>
              <w:t>: k</w:t>
            </w:r>
            <w:r>
              <w:rPr>
                <w:rFonts w:cs="Times New Roman" w:ascii="Times New Roman" w:hAnsi="Times New Roman"/>
                <w:sz w:val="24"/>
                <w:szCs w:val="24"/>
                <w:lang w:val="en-US"/>
              </w:rPr>
              <w:t>uchakivschool</w:t>
            </w:r>
            <w:r>
              <w:rPr>
                <w:rFonts w:cs="Times New Roman" w:ascii="Times New Roman" w:hAnsi="Times New Roman"/>
                <w:color w:val="0000FF"/>
                <w:sz w:val="24"/>
                <w:szCs w:val="24"/>
                <w:u w:val="single"/>
                <w:lang w:val="en-US"/>
              </w:rPr>
              <w:t>@ukr.net</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rPr>
              <w:t>Пащенко</w:t>
            </w:r>
            <w:r>
              <w:rPr>
                <w:rFonts w:eastAsia="Times New Roman" w:cs="Times New Roman" w:ascii="Times New Roman" w:hAnsi="Times New Roman"/>
                <w:sz w:val="24"/>
                <w:szCs w:val="24"/>
              </w:rPr>
              <w:t xml:space="preserve"> Наталія Володимирівна - уповноважена особа Кучаківського ліцею імені гетьмана Івана Сулими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тел. 0962456669</w:t>
            </w:r>
          </w:p>
        </w:tc>
      </w:tr>
      <w:tr>
        <w:trPr>
          <w:trHeight w:val="15"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70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35" w:type="dxa"/>
            <w:tcBorders>
              <w:top w:val="single" w:sz="4" w:space="0" w:color="000000"/>
              <w:left w:val="single" w:sz="4" w:space="0" w:color="000000"/>
              <w:bottom w:val="single" w:sz="4" w:space="0" w:color="000000"/>
              <w:right w:val="single" w:sz="4" w:space="0" w:color="000000"/>
            </w:tcBorders>
          </w:tcPr>
          <w:p>
            <w:pPr>
              <w:pStyle w:val="HTMLPreformatted"/>
              <w:widowControl w:val="false"/>
              <w:shd w:val="clear" w:color="auto" w:fill="FFFFFF"/>
              <w:jc w:val="center"/>
              <w:rPr>
                <w:rFonts w:ascii="Times New Roman" w:hAnsi="Times New Roman"/>
                <w:b/>
                <w:b/>
                <w:bCs/>
                <w:i/>
                <w:i/>
                <w:sz w:val="24"/>
                <w:szCs w:val="24"/>
                <w:lang w:val="uk-UA" w:eastAsia="en-US"/>
              </w:rPr>
            </w:pPr>
            <w:hyperlink r:id="rId2">
              <w:r>
                <w:rPr>
                  <w:rFonts w:ascii="Times New Roman" w:hAnsi="Times New Roman"/>
                  <w:b/>
                  <w:bCs/>
                  <w:i/>
                  <w:color w:val="auto"/>
                  <w:sz w:val="24"/>
                  <w:szCs w:val="24"/>
                  <w:u w:val="none"/>
                  <w:lang w:val="uk-UA" w:eastAsia="en-US"/>
                </w:rPr>
                <w:t>Сирні</w:t>
              </w:r>
            </w:hyperlink>
            <w:r>
              <w:rPr>
                <w:rFonts w:ascii="Times New Roman" w:hAnsi="Times New Roman"/>
                <w:b/>
                <w:bCs/>
                <w:i/>
                <w:sz w:val="24"/>
                <w:szCs w:val="24"/>
                <w:lang w:val="uk-UA" w:eastAsia="en-US"/>
              </w:rPr>
              <w:t xml:space="preserve"> продукти</w:t>
            </w:r>
          </w:p>
          <w:p>
            <w:pPr>
              <w:pStyle w:val="HTMLPreformatted"/>
              <w:widowControl w:val="false"/>
              <w:shd w:val="clear" w:color="auto" w:fill="FFFFFF"/>
              <w:jc w:val="center"/>
              <w:rPr>
                <w:rFonts w:ascii="Times New Roman" w:hAnsi="Times New Roman"/>
                <w:b/>
                <w:b/>
                <w:bCs/>
                <w:i/>
                <w:i/>
                <w:sz w:val="24"/>
                <w:szCs w:val="24"/>
                <w:lang w:eastAsia="en-US"/>
              </w:rPr>
            </w:pPr>
            <w:r>
              <w:rPr>
                <w:rFonts w:ascii="Times New Roman" w:hAnsi="Times New Roman"/>
                <w:b/>
                <w:bCs/>
                <w:i/>
                <w:sz w:val="24"/>
                <w:szCs w:val="24"/>
                <w:lang w:eastAsia="en-US"/>
              </w:rPr>
              <w:t>(код ДК 021-2015 (CPV): 15540000-5 - Сирні продукти)</w:t>
            </w:r>
          </w:p>
          <w:p>
            <w:pPr>
              <w:pStyle w:val="HTMLPreformatted"/>
              <w:widowControl w:val="false"/>
              <w:shd w:val="clear" w:color="auto" w:fill="FFFFFF"/>
              <w:jc w:val="center"/>
              <w:rPr>
                <w:rFonts w:ascii="Times New Roman" w:hAnsi="Times New Roman"/>
                <w:i/>
                <w:i/>
                <w:sz w:val="24"/>
                <w:szCs w:val="24"/>
              </w:rPr>
            </w:pPr>
            <w:r>
              <w:rPr>
                <w:rFonts w:ascii="Times New Roman" w:hAnsi="Times New Roman"/>
                <w:i/>
                <w:sz w:val="24"/>
                <w:szCs w:val="24"/>
              </w:rPr>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b/>
                <w:b/>
                <w:i/>
                <w:i/>
                <w:sz w:val="24"/>
                <w:szCs w:val="24"/>
                <w:highlight w:val="yellow"/>
              </w:rPr>
            </w:pPr>
            <w:r>
              <w:rPr>
                <w:rFonts w:eastAsia="Times New Roman" w:cs="Times New Roman" w:ascii="Times New Roman" w:hAnsi="Times New Roman"/>
                <w:b/>
                <w:i/>
                <w:sz w:val="24"/>
                <w:szCs w:val="24"/>
              </w:rPr>
              <w:t>не передбачено</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Очікувана вартість закупівлі</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110 000,00 (Сто десять тисяч тисяч гривень) з них:</w:t>
            </w:r>
          </w:p>
          <w:p>
            <w:pPr>
              <w:pStyle w:val="Normal"/>
              <w:widowControl w:val="false"/>
              <w:spacing w:before="0" w:after="160"/>
              <w:jc w:val="both"/>
              <w:rPr>
                <w:rFonts w:ascii="Times New Roman" w:hAnsi="Times New Roman" w:eastAsia="Times New Roman" w:cs="Times New Roman"/>
                <w:b/>
                <w:b/>
                <w:i/>
                <w:i/>
                <w:sz w:val="24"/>
                <w:szCs w:val="24"/>
                <w:highlight w:val="yellow"/>
              </w:rPr>
            </w:pPr>
            <w:r>
              <w:rPr>
                <w:rFonts w:eastAsia="Times New Roman" w:cs="Times New Roman" w:ascii="Times New Roman" w:hAnsi="Times New Roman"/>
                <w:sz w:val="24"/>
                <w:szCs w:val="24"/>
              </w:rPr>
              <w:t>Мінімальний крок пониження –0,5 % (550,00 грн.)</w:t>
            </w:r>
          </w:p>
        </w:tc>
      </w:tr>
      <w:tr>
        <w:trPr>
          <w:trHeight w:val="84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 товару та місце його поставки</w:t>
            </w:r>
          </w:p>
          <w:p>
            <w:pPr>
              <w:pStyle w:val="Normal"/>
              <w:widowControl w:val="false"/>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(для товару)</w:t>
            </w:r>
          </w:p>
          <w:p>
            <w:pPr>
              <w:pStyle w:val="Normal"/>
              <w:widowControl w:val="false"/>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spacing w:before="0" w:after="16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місце, де повинні бути виконані роботи чи надані послуги, їх обсяги </w:t>
            </w:r>
            <w:r>
              <w:rPr>
                <w:rFonts w:eastAsia="Times New Roman" w:cs="Times New Roman" w:ascii="Times New Roman" w:hAnsi="Times New Roman"/>
                <w:i/>
                <w:sz w:val="24"/>
                <w:szCs w:val="24"/>
              </w:rPr>
              <w:t>(для робіт або послуг)</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9" w:before="0" w:after="160"/>
              <w:jc w:val="both"/>
              <w:rPr>
                <w:rFonts w:ascii="Times New Roman" w:hAnsi="Times New Roman"/>
                <w:b/>
                <w:b/>
                <w:i/>
                <w:i/>
                <w:sz w:val="24"/>
                <w:szCs w:val="24"/>
              </w:rPr>
            </w:pPr>
            <w:r>
              <w:rPr>
                <w:rFonts w:ascii="Times New Roman" w:hAnsi="Times New Roman"/>
                <w:b/>
                <w:bCs/>
                <w:sz w:val="24"/>
                <w:szCs w:val="24"/>
              </w:rPr>
              <w:t>Місце поставки товару</w:t>
            </w:r>
            <w:r>
              <w:rPr>
                <w:rFonts w:ascii="Times New Roman" w:hAnsi="Times New Roman"/>
                <w:sz w:val="24"/>
                <w:szCs w:val="24"/>
              </w:rPr>
              <w:t xml:space="preserve">: </w:t>
            </w:r>
            <w:r>
              <w:rPr>
                <w:rFonts w:cs="Times New Roman" w:ascii="Times New Roman" w:hAnsi="Times New Roman"/>
                <w:color w:val="000000"/>
                <w:sz w:val="24"/>
                <w:szCs w:val="24"/>
              </w:rPr>
              <w:t>08333, Україна, Київська область, село Кучаків, вулиця Гетьмана Івана Сулими,69а</w:t>
            </w:r>
          </w:p>
          <w:p>
            <w:pPr>
              <w:pStyle w:val="Normal"/>
              <w:widowControl w:val="false"/>
              <w:ind w:right="120" w:hanging="0"/>
              <w:jc w:val="both"/>
              <w:rPr>
                <w:rFonts w:ascii="Times New Roman" w:hAnsi="Times New Roman" w:eastAsia="Times New Roman" w:cs="Times New Roman"/>
                <w:color w:val="4A86E8"/>
                <w:sz w:val="24"/>
                <w:szCs w:val="24"/>
              </w:rPr>
            </w:pPr>
            <w:r>
              <w:rPr>
                <w:rFonts w:cs="Times New Roman" w:ascii="Times New Roman" w:hAnsi="Times New Roman"/>
                <w:b/>
                <w:sz w:val="24"/>
                <w:szCs w:val="24"/>
              </w:rPr>
              <w:t xml:space="preserve">Кількість товару:  </w:t>
            </w:r>
            <w:r>
              <w:rPr>
                <w:rFonts w:cs="Times New Roman" w:ascii="Times New Roman" w:hAnsi="Times New Roman"/>
                <w:sz w:val="24"/>
                <w:szCs w:val="24"/>
              </w:rPr>
              <w:t>сир твердий – 100; сир кисломолочний – 525 кг.</w:t>
            </w:r>
            <w:bookmarkStart w:id="2" w:name="_GoBack"/>
            <w:bookmarkEnd w:id="2"/>
          </w:p>
          <w:p>
            <w:pPr>
              <w:pStyle w:val="Normal"/>
              <w:widowControl w:val="false"/>
              <w:spacing w:before="0" w:after="160"/>
              <w:ind w:left="63" w:right="120" w:hanging="0"/>
              <w:jc w:val="both"/>
              <w:rPr>
                <w:rFonts w:ascii="Times New Roman" w:hAnsi="Times New Roman" w:eastAsia="Times New Roman" w:cs="Times New Roman"/>
                <w:i/>
                <w:i/>
                <w:color w:val="4A86E8"/>
                <w:sz w:val="24"/>
                <w:szCs w:val="24"/>
                <w:highlight w:val="white"/>
              </w:rPr>
            </w:pPr>
            <w:r>
              <w:rPr>
                <w:rFonts w:eastAsia="Times New Roman" w:cs="Times New Roman" w:ascii="Times New Roman" w:hAnsi="Times New Roman"/>
                <w:i/>
                <w:color w:val="4A86E8"/>
                <w:sz w:val="24"/>
                <w:szCs w:val="24"/>
                <w:highlight w:val="white"/>
              </w:rPr>
            </w:r>
          </w:p>
        </w:tc>
      </w:tr>
      <w:tr>
        <w:trPr>
          <w:trHeight w:val="645"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до 31.12.2024 року</w:t>
            </w:r>
          </w:p>
        </w:tc>
      </w:tr>
      <w:tr>
        <w:trPr>
          <w:trHeight w:val="841"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та документи про відповідність предмета закупівлі вимогам технічної специфікації згідно з</w:t>
            </w:r>
            <w:r>
              <w:rPr>
                <w:rFonts w:eastAsia="Times New Roman" w:cs="Times New Roman" w:ascii="Times New Roman" w:hAnsi="Times New Roman"/>
                <w:b/>
                <w:i/>
                <w:sz w:val="24"/>
                <w:szCs w:val="24"/>
              </w:rPr>
              <w:t xml:space="preserve">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b/>
                <w:b/>
                <w:i/>
                <w:i/>
                <w:sz w:val="24"/>
                <w:szCs w:val="24"/>
              </w:rPr>
            </w:pPr>
            <w:r>
              <w:rPr>
                <w:rFonts w:eastAsia="Times New Roman" w:cs="Times New Roman" w:ascii="Times New Roman" w:hAnsi="Times New Roman"/>
                <w:sz w:val="24"/>
                <w:szCs w:val="24"/>
              </w:rPr>
              <w:t xml:space="preserve">цінова пропозиція </w:t>
            </w:r>
            <w:r>
              <w:rPr>
                <w:rFonts w:eastAsia="Times New Roman" w:cs="Times New Roman" w:ascii="Times New Roman" w:hAnsi="Times New Roman"/>
                <w:b/>
                <w:i/>
                <w:sz w:val="24"/>
                <w:szCs w:val="24"/>
              </w:rPr>
              <w:t>згідно з Додатком 4;</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xml:space="preserve">, повинен надати замовнику шляхом оприлюднення в електронній системі закупівель документи, </w:t>
            </w:r>
            <w:r>
              <w:rPr>
                <w:rFonts w:eastAsia="Times New Roman" w:cs="Times New Roman" w:ascii="Times New Roman" w:hAnsi="Times New Roman"/>
                <w:sz w:val="24"/>
                <w:szCs w:val="24"/>
              </w:rPr>
              <w:t>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highlight w:val="lightGray"/>
              </w:rPr>
              <w:t>у</w:t>
            </w:r>
            <w:r>
              <w:rPr>
                <w:rFonts w:eastAsia="Times New Roman" w:cs="Times New Roman"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highlight w:val="lightGray"/>
              </w:rPr>
              <w:t>п</w:t>
            </w:r>
            <w:r>
              <w:rPr>
                <w:rFonts w:eastAsia="Times New Roman" w:cs="Times New Roman" w:ascii="Times New Roman" w:hAnsi="Times New Roman"/>
                <w:b/>
                <w:color w:val="000000"/>
                <w:sz w:val="24"/>
                <w:szCs w:val="24"/>
                <w:highlight w:val="lightGray"/>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1) документи </w:t>
            </w:r>
            <w:r>
              <w:rPr>
                <w:rFonts w:eastAsia="Times New Roman" w:cs="Times New Roman" w:ascii="Times New Roman" w:hAnsi="Times New Roman"/>
                <w:b/>
                <w:sz w:val="24"/>
                <w:szCs w:val="24"/>
              </w:rPr>
              <w:t>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sz w:val="24"/>
                <w:szCs w:val="24"/>
              </w:rPr>
              <w:t xml:space="preserve">Всі документи тендерної пропозиції  подаються </w:t>
            </w:r>
            <w:r>
              <w:rPr>
                <w:rFonts w:eastAsia="Times New Roman" w:cs="Times New Roman" w:ascii="Times New Roman" w:hAnsi="Times New Roman"/>
                <w:color w:val="000000"/>
                <w:sz w:val="24"/>
                <w:szCs w:val="24"/>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Забезпечення тендерної пропозиції не передбачається</w:t>
            </w:r>
          </w:p>
          <w:p>
            <w:pPr>
              <w:pStyle w:val="Normal"/>
              <w:widowControl w:val="false"/>
              <w:ind w:right="120" w:hanging="0"/>
              <w:jc w:val="both"/>
              <w:rPr>
                <w:rFonts w:ascii="Times New Roman" w:hAnsi="Times New Roman" w:eastAsia="Times New Roman" w:cs="Times New Roman"/>
                <w:sz w:val="24"/>
                <w:szCs w:val="24"/>
              </w:rPr>
            </w:pPr>
            <w:r>
              <w:rPr/>
            </w:r>
          </w:p>
          <w:p>
            <w:pPr>
              <w:pStyle w:val="Normal"/>
              <w:widowControl w:val="false"/>
              <w:ind w:right="120" w:hanging="0"/>
              <w:jc w:val="both"/>
              <w:rPr>
                <w:rFonts w:ascii="Times New Roman" w:hAnsi="Times New Roman" w:eastAsia="Times New Roman" w:cs="Times New Roman"/>
                <w:sz w:val="24"/>
                <w:szCs w:val="24"/>
              </w:rPr>
            </w:pPr>
            <w:r>
              <w:rPr/>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82"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color w:val="00B050"/>
                <w:sz w:val="24"/>
                <w:szCs w:val="24"/>
              </w:rPr>
              <w:t xml:space="preserve">47  </w:t>
            </w:r>
            <w:r>
              <w:rPr>
                <w:rFonts w:eastAsia="Times New Roman" w:cs="Times New Roman" w:ascii="Times New Roman" w:hAnsi="Times New Roman"/>
                <w:b/>
                <w:sz w:val="24"/>
                <w:szCs w:val="24"/>
              </w:rPr>
              <w:t>Особливостей</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Pr>
                <w:rFonts w:eastAsia="Times New Roman" w:cs="Times New Roman" w:ascii="Times New Roman" w:hAnsi="Times New Roman"/>
                <w:sz w:val="24"/>
                <w:szCs w:val="24"/>
                <w:highlight w:val="white"/>
              </w:rPr>
              <w:t>неї публічних закупівель товарів, робіт і послуг згідно із Законом України “Про санкції”,</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highlight w:val="white"/>
              </w:rPr>
              <w:t>;</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0000" w:themeColor="text1"/>
                <w:sz w:val="24"/>
                <w:szCs w:val="24"/>
                <w:highlight w:val="white"/>
              </w:rPr>
              <w:t>із ц</w:t>
            </w:r>
            <w:r>
              <w:rPr>
                <w:rFonts w:eastAsia="Times New Roman" w:cs="Times New Roman" w:ascii="Times New Roman" w:hAnsi="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eastAsia="Times New Roman" w:cs="Times New Roman" w:ascii="Times New Roman" w:hAnsi="Times New Roman"/>
                <w:color w:val="00B050"/>
                <w:sz w:val="24"/>
                <w:szCs w:val="24"/>
                <w:highlight w:val="white"/>
              </w:rPr>
              <w:t>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Fonts w:eastAsia="Times New Roman" w:cs="Times New Roman" w:ascii="Times New Roman" w:hAnsi="Times New Roman"/>
                  <w:sz w:val="24"/>
                  <w:szCs w:val="24"/>
                </w:rPr>
                <w:t xml:space="preserve"> пунктом третім </w:t>
              </w:r>
            </w:hyperlink>
            <w:hyperlink r:id="rId4">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 випадку закупівлі робіт чи послуг)</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841"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i/>
                <w:i/>
                <w:strike/>
                <w:color w:val="000000" w:themeColor="text1"/>
                <w:sz w:val="24"/>
                <w:szCs w:val="24"/>
                <w:u w:val="single"/>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b/>
                <w:color w:val="000000" w:themeColor="text1"/>
                <w:sz w:val="24"/>
                <w:szCs w:val="24"/>
                <w:u w:val="single"/>
              </w:rPr>
              <w:t>0</w:t>
            </w:r>
            <w:r>
              <w:rPr>
                <w:rFonts w:eastAsia="Times New Roman" w:cs="Times New Roman" w:ascii="Times New Roman" w:hAnsi="Times New Roman"/>
                <w:b/>
                <w:color w:val="000000" w:themeColor="text1"/>
                <w:sz w:val="24"/>
                <w:szCs w:val="24"/>
                <w:u w:val="single"/>
              </w:rPr>
              <w:t>8</w:t>
            </w:r>
            <w:r>
              <w:rPr>
                <w:rFonts w:eastAsia="Times New Roman" w:cs="Times New Roman" w:ascii="Times New Roman" w:hAnsi="Times New Roman"/>
                <w:b/>
                <w:color w:val="000000" w:themeColor="text1"/>
                <w:sz w:val="24"/>
                <w:szCs w:val="24"/>
                <w:u w:val="single"/>
              </w:rPr>
              <w:t>.0</w:t>
            </w:r>
            <w:r>
              <w:rPr>
                <w:rFonts w:eastAsia="Times New Roman" w:cs="Times New Roman" w:ascii="Times New Roman" w:hAnsi="Times New Roman"/>
                <w:b/>
                <w:color w:val="000000" w:themeColor="text1"/>
                <w:sz w:val="24"/>
                <w:szCs w:val="24"/>
                <w:u w:val="single"/>
              </w:rPr>
              <w:t>3</w:t>
            </w:r>
            <w:r>
              <w:rPr>
                <w:rFonts w:eastAsia="Times New Roman" w:cs="Times New Roman" w:ascii="Times New Roman" w:hAnsi="Times New Roman"/>
                <w:b/>
                <w:color w:val="000000" w:themeColor="text1"/>
                <w:sz w:val="24"/>
                <w:szCs w:val="24"/>
                <w:u w:val="single"/>
              </w:rPr>
              <w:t>.2024 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Ціна тендерної пропозиції </w:t>
            </w:r>
            <w:r>
              <w:rPr>
                <w:rFonts w:eastAsia="Times New Roman" w:cs="Times New Roman" w:ascii="Times New Roman" w:hAnsi="Times New Roman"/>
                <w:i/>
                <w:color w:val="FF0000"/>
                <w:sz w:val="24"/>
                <w:szCs w:val="24"/>
              </w:rPr>
              <w:t>не може</w:t>
            </w:r>
            <w:r>
              <w:rPr>
                <w:rFonts w:eastAsia="Times New Roman" w:cs="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color w:val="4A86E8"/>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color w:val="FF0000"/>
                <w:sz w:val="24"/>
                <w:szCs w:val="24"/>
                <w:u w:val="single"/>
              </w:rPr>
              <w:t xml:space="preserve">не приймається </w:t>
            </w:r>
            <w:r>
              <w:rPr>
                <w:rFonts w:eastAsia="Times New Roman" w:cs="Times New Roman" w:ascii="Times New Roman" w:hAnsi="Times New Roman"/>
                <w:i/>
                <w:color w:val="FF0000"/>
                <w:sz w:val="24"/>
                <w:szCs w:val="24"/>
              </w:rPr>
              <w:t xml:space="preserve">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послуги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послуг</w:t>
            </w:r>
            <w:r>
              <w:rPr>
                <w:rFonts w:eastAsia="Times New Roman" w:cs="Times New Roman" w:ascii="Times New Roman" w:hAnsi="Times New Roman"/>
                <w:sz w:val="24"/>
                <w:szCs w:val="24"/>
              </w:rPr>
              <w:t xml:space="preserve"> даного виду.</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відхилення тендерної пропозиції з підстави, визначеної підпунктом 3 пункту </w:t>
            </w:r>
            <w:r>
              <w:rPr>
                <w:rFonts w:eastAsia="Times New Roman" w:cs="Times New Roman" w:ascii="Times New Roman" w:hAnsi="Times New Roman"/>
                <w:b/>
                <w:color w:val="00B050"/>
                <w:sz w:val="24"/>
                <w:szCs w:val="24"/>
                <w:highlight w:val="white"/>
              </w:rPr>
              <w:t>44</w:t>
            </w:r>
            <w:r>
              <w:rPr>
                <w:rFonts w:eastAsia="Times New Roman" w:cs="Times New Roman" w:ascii="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eastAsia="Times New Roman" w:cs="Times New Roman" w:ascii="Times New Roman" w:hAnsi="Times New Roman"/>
                <w:b/>
                <w:color w:val="00B050"/>
                <w:sz w:val="24"/>
                <w:szCs w:val="24"/>
                <w:highlight w:val="white"/>
              </w:rPr>
              <w:t>49</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sz w:val="24"/>
                <w:szCs w:val="24"/>
              </w:rPr>
              <w:t xml:space="preserve">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xml:space="preserve">. Зазначені </w:t>
            </w:r>
            <w:r>
              <w:rPr>
                <w:rFonts w:eastAsia="Times New Roman" w:cs="Times New Roman" w:ascii="Times New Roman" w:hAnsi="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6.  Факт подання тендерної пропозиції учасником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фізичною особою чи фізичною особою</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b/>
                <w:sz w:val="24"/>
                <w:szCs w:val="24"/>
              </w:rPr>
              <w:t>є</w:t>
            </w:r>
            <w:r>
              <w:rPr>
                <w:rFonts w:eastAsia="Times New Roman" w:cs="Times New Roman" w:ascii="Times New Roman" w:hAnsi="Times New Roman"/>
                <w:b/>
                <w:color w:val="000000"/>
                <w:sz w:val="24"/>
                <w:szCs w:val="24"/>
              </w:rPr>
              <w:t xml:space="preserve">ктом договору про закупівлю, викладеним </w:t>
            </w:r>
            <w:r>
              <w:rPr>
                <w:rFonts w:eastAsia="Times New Roman" w:cs="Times New Roman" w:ascii="Times New Roman" w:hAnsi="Times New Roman"/>
                <w:b/>
                <w:sz w:val="24"/>
                <w:szCs w:val="24"/>
              </w:rPr>
              <w:t>у</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b/>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 xml:space="preserve">А також враховувати, що в Україні </w:t>
            </w:r>
            <w:r>
              <w:rPr>
                <w:rFonts w:eastAsia="Times New Roman" w:cs="Times New Roman" w:ascii="Times New Roman" w:hAnsi="Times New Roman"/>
                <w:b/>
                <w:i/>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416"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tc>
      </w:tr>
      <w:tr>
        <w:trPr>
          <w:trHeight w:val="210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44"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bookmarkStart w:id="8" w:name="_heading=h.2s8eyo1"/>
      <w:bookmarkEnd w:id="8"/>
      <w:r>
        <w:rPr>
          <w:rFonts w:eastAsia="Times New Roman" w:cs="Times New Roman" w:ascii="Times New Roman" w:hAnsi="Times New Roman"/>
          <w:sz w:val="24"/>
          <w:szCs w:val="24"/>
          <w:lang w:eastAsia="en-US"/>
        </w:rPr>
        <w:t>Додаток 1 до тендерної документації «КВАЛІФІКАЦІЙ ВИМОГИ»;</w:t>
      </w:r>
    </w:p>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Додаток 2 до тендерної документації «</w:t>
      </w:r>
      <w:r>
        <w:rPr>
          <w:rFonts w:cs="Times New Roman" w:ascii="Times New Roman" w:hAnsi="Times New Roman"/>
          <w:sz w:val="24"/>
          <w:szCs w:val="24"/>
        </w:rPr>
        <w:t>Технічні, якісні та кількісні характеристики предмета закупівлі</w:t>
      </w:r>
      <w:r>
        <w:rPr>
          <w:rFonts w:eastAsia="Times New Roman" w:cs="Times New Roman" w:ascii="Times New Roman" w:hAnsi="Times New Roman"/>
          <w:sz w:val="24"/>
          <w:szCs w:val="24"/>
          <w:lang w:eastAsia="en-US"/>
        </w:rPr>
        <w:t>»;</w:t>
      </w:r>
    </w:p>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Додаток 3 до тендерної документації «ПРОЄКТ ДОГОВОРУ»;</w:t>
      </w:r>
    </w:p>
    <w:p>
      <w:pPr>
        <w:pStyle w:val="ListParagraph"/>
        <w:widowControl w:val="false"/>
        <w:numPr>
          <w:ilvl w:val="0"/>
          <w:numId w:val="2"/>
        </w:numPr>
        <w:spacing w:lineRule="auto" w:line="240" w:before="0" w:after="0"/>
        <w:ind w:left="426" w:hanging="36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Додаток 4 до тендерної документації «ФОРМА «ТЕНДЕРНА ПРОПОЗИЦІЯ»;</w:t>
      </w:r>
    </w:p>
    <w:p>
      <w:pPr>
        <w:pStyle w:val="ListParagraph"/>
        <w:spacing w:before="0" w:after="160"/>
        <w:ind w:left="426" w:hanging="360"/>
        <w:contextualSpacing/>
        <w:rPr>
          <w:rFonts w:ascii="Times New Roman" w:hAnsi="Times New Roman" w:eastAsia="Times New Roman" w:cs="Times New Roman"/>
          <w:sz w:val="24"/>
          <w:szCs w:val="24"/>
          <w:lang w:eastAsia="en-US"/>
        </w:rPr>
      </w:pPr>
      <w:r>
        <w:rPr/>
      </w:r>
    </w:p>
    <w:sectPr>
      <w:footerReference w:type="default" r:id="rId5"/>
      <w:type w:val="nextPage"/>
      <w:pgSz w:w="11906" w:h="16838"/>
      <w:pgMar w:left="1417" w:right="850" w:gutter="0" w:header="0" w:top="677"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nsolas">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13</w:t>
    </w:r>
    <w:r>
      <w:rPr>
        <w:sz w:val="24"/>
        <w:szCs w:val="24"/>
        <w:rFonts w:eastAsia="Times New Roman"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HTML" w:customStyle="1">
    <w:name w:val="Стандартный HTML Знак"/>
    <w:basedOn w:val="DefaultParagraphFont"/>
    <w:uiPriority w:val="99"/>
    <w:semiHidden/>
    <w:qFormat/>
    <w:rsid w:val="00105d24"/>
    <w:rPr>
      <w:rFonts w:ascii="Consolas" w:hAnsi="Consolas"/>
      <w:sz w:val="20"/>
      <w:szCs w:val="20"/>
    </w:rPr>
  </w:style>
  <w:style w:type="character" w:styleId="HTML1" w:customStyle="1">
    <w:name w:val="Стандартный HTML Знак1"/>
    <w:link w:val="HTMLPreformatted"/>
    <w:qFormat/>
    <w:rsid w:val="00105d24"/>
    <w:rPr>
      <w:rFonts w:ascii="Courier New" w:hAnsi="Courier New" w:eastAsia="Times New Roman" w:cs="Times New Roman"/>
      <w:sz w:val="20"/>
      <w:szCs w:val="20"/>
      <w:lang w:val="x-none" w:eastAsia="ar-SA"/>
    </w:rPr>
  </w:style>
  <w:style w:type="character" w:styleId="Style12" w:customStyle="1">
    <w:name w:val="Верхний колонтитул Знак"/>
    <w:basedOn w:val="DefaultParagraphFont"/>
    <w:uiPriority w:val="99"/>
    <w:qFormat/>
    <w:rsid w:val="00683b6c"/>
    <w:rPr/>
  </w:style>
  <w:style w:type="character" w:styleId="Style13" w:customStyle="1">
    <w:name w:val="Нижний колонтитул Знак"/>
    <w:basedOn w:val="DefaultParagraphFont"/>
    <w:uiPriority w:val="99"/>
    <w:qFormat/>
    <w:rsid w:val="00683b6c"/>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Style19">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2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HTMLPreformatted">
    <w:name w:val="HTML Preformatted"/>
    <w:basedOn w:val="Normal"/>
    <w:link w:val="HTML1"/>
    <w:qFormat/>
    <w:rsid w:val="00105d2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Times New Roman"/>
      <w:sz w:val="20"/>
      <w:szCs w:val="20"/>
      <w:lang w:val="x-none" w:eastAsia="ar-SA"/>
    </w:rPr>
  </w:style>
  <w:style w:type="paragraph" w:styleId="Style22">
    <w:name w:val="Верхній і нижній колонтитули"/>
    <w:basedOn w:val="Normal"/>
    <w:qFormat/>
    <w:pPr/>
    <w:rPr/>
  </w:style>
  <w:style w:type="paragraph" w:styleId="Style23">
    <w:name w:val="Header"/>
    <w:basedOn w:val="Normal"/>
    <w:link w:val="Style12"/>
    <w:uiPriority w:val="99"/>
    <w:unhideWhenUsed/>
    <w:rsid w:val="00683b6c"/>
    <w:pPr>
      <w:tabs>
        <w:tab w:val="clear" w:pos="720"/>
        <w:tab w:val="center" w:pos="4677" w:leader="none"/>
        <w:tab w:val="right" w:pos="9355" w:leader="none"/>
      </w:tabs>
      <w:spacing w:lineRule="auto" w:line="240" w:before="0" w:after="0"/>
    </w:pPr>
    <w:rPr/>
  </w:style>
  <w:style w:type="paragraph" w:styleId="Style24">
    <w:name w:val="Footer"/>
    <w:basedOn w:val="Normal"/>
    <w:link w:val="Style13"/>
    <w:uiPriority w:val="99"/>
    <w:unhideWhenUsed/>
    <w:rsid w:val="00683b6c"/>
    <w:pPr>
      <w:tabs>
        <w:tab w:val="clear" w:pos="720"/>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zo.com.ua/plans/24481752"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67145A50-500F-49E2-A6C9-D24AFB9526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Application>LibreOffice/7.4.2.3$Windows_X86_64 LibreOffice_project/382eef1f22670f7f4118c8c2dd222ec7ad009daf</Application>
  <AppVersion>15.0000</AppVersion>
  <Pages>26</Pages>
  <Words>6747</Words>
  <Characters>46229</Characters>
  <CharactersWithSpaces>52751</CharactersWithSpaces>
  <Paragraphs>319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2023-09-19T12:41:00Z</dcterms:created>
  <dc:creator>userua12</dc:creator>
  <dc:description/>
  <dc:language>uk-UA</dc:language>
  <cp:lastModifiedBy/>
  <cp:lastPrinted>2023-09-20T09:51:00Z</cp:lastPrinted>
  <dcterms:modified xsi:type="dcterms:W3CDTF">2024-02-29T11:19:09Z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