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A96101">
                    <w:rPr>
                      <w:rFonts w:ascii="Times New Roman" w:hAnsi="Times New Roman"/>
                      <w:b/>
                      <w:bCs/>
                      <w:noProof/>
                      <w:sz w:val="28"/>
                    </w:rPr>
                    <w:t>76</w:t>
                  </w:r>
                  <w:r w:rsidR="00F94C03">
                    <w:rPr>
                      <w:rFonts w:ascii="Times New Roman" w:hAnsi="Times New Roman"/>
                      <w:b/>
                      <w:bCs/>
                      <w:noProof/>
                      <w:sz w:val="28"/>
                    </w:rPr>
                    <w:t xml:space="preserve"> </w:t>
                  </w:r>
                  <w:r w:rsidRPr="00C110FB">
                    <w:rPr>
                      <w:rFonts w:ascii="Times New Roman" w:hAnsi="Times New Roman"/>
                      <w:b/>
                      <w:bCs/>
                      <w:noProof/>
                      <w:sz w:val="28"/>
                    </w:rPr>
                    <w:t>від «</w:t>
                  </w:r>
                  <w:r w:rsidR="00A96101">
                    <w:rPr>
                      <w:rFonts w:ascii="Times New Roman" w:hAnsi="Times New Roman"/>
                      <w:b/>
                      <w:bCs/>
                      <w:noProof/>
                      <w:sz w:val="28"/>
                    </w:rPr>
                    <w:t>08</w:t>
                  </w:r>
                  <w:r w:rsidRPr="00C110FB">
                    <w:rPr>
                      <w:rFonts w:ascii="Times New Roman" w:hAnsi="Times New Roman"/>
                      <w:b/>
                      <w:bCs/>
                      <w:noProof/>
                      <w:sz w:val="28"/>
                    </w:rPr>
                    <w:t xml:space="preserve">» </w:t>
                  </w:r>
                  <w:r w:rsidR="00A96101">
                    <w:rPr>
                      <w:rFonts w:ascii="Times New Roman" w:hAnsi="Times New Roman"/>
                      <w:b/>
                      <w:bCs/>
                      <w:noProof/>
                      <w:sz w:val="28"/>
                      <w:lang w:val="uk-UA"/>
                    </w:rPr>
                    <w:t>березня</w:t>
                  </w:r>
                  <w:r w:rsidRPr="00C110FB">
                    <w:rPr>
                      <w:rFonts w:ascii="Times New Roman" w:hAnsi="Times New Roman"/>
                      <w:b/>
                      <w:bCs/>
                      <w:noProof/>
                      <w:sz w:val="28"/>
                    </w:rPr>
                    <w:t xml:space="preserve"> 202</w:t>
                  </w:r>
                  <w:r w:rsidR="00A96101">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891E24" w:rsidRPr="000630B8" w:rsidRDefault="00586888" w:rsidP="00891E24">
      <w:pPr>
        <w:widowControl w:val="0"/>
        <w:suppressAutoHyphens/>
        <w:autoSpaceDE w:val="0"/>
        <w:jc w:val="center"/>
        <w:rPr>
          <w:rFonts w:ascii="Times New Roman" w:hAnsi="Times New Roman"/>
          <w:b/>
          <w:sz w:val="32"/>
          <w:szCs w:val="32"/>
          <w:lang w:val="uk-UA" w:bidi="en-US"/>
        </w:rPr>
      </w:pPr>
      <w:r>
        <w:rPr>
          <w:rFonts w:ascii="Times New Roman" w:hAnsi="Times New Roman"/>
          <w:b/>
          <w:sz w:val="32"/>
          <w:szCs w:val="32"/>
          <w:lang w:val="ru-RU" w:bidi="en-US"/>
        </w:rPr>
        <w:t>15830000-5 Цукор і супутня продукція</w:t>
      </w:r>
      <w:r w:rsidR="000630B8">
        <w:rPr>
          <w:rFonts w:ascii="Times New Roman" w:hAnsi="Times New Roman"/>
          <w:b/>
          <w:sz w:val="32"/>
          <w:szCs w:val="32"/>
          <w:lang w:val="uk-UA" w:bidi="en-US"/>
        </w:rPr>
        <w:t xml:space="preserve"> </w:t>
      </w:r>
    </w:p>
    <w:p w:rsidR="00891E24" w:rsidRPr="00E869CD" w:rsidRDefault="00891E24" w:rsidP="00891E24">
      <w:pPr>
        <w:widowControl w:val="0"/>
        <w:suppressAutoHyphens/>
        <w:autoSpaceDE w:val="0"/>
        <w:jc w:val="center"/>
        <w:rPr>
          <w:rFonts w:ascii="Liberation Serif" w:hAnsi="Liberation Serif"/>
          <w:b/>
          <w:bCs/>
          <w:iCs/>
          <w:color w:val="00000A"/>
          <w:kern w:val="2"/>
          <w:sz w:val="32"/>
          <w:szCs w:val="32"/>
          <w:lang w:val="ru-RU" w:eastAsia="zh-CN" w:bidi="hi-IN"/>
        </w:rPr>
      </w:pPr>
      <w:r>
        <w:rPr>
          <w:rFonts w:ascii="Times New Roman" w:hAnsi="Times New Roman"/>
          <w:b/>
          <w:sz w:val="32"/>
          <w:szCs w:val="32"/>
          <w:lang w:val="ru-RU" w:bidi="en-US"/>
        </w:rPr>
        <w:t>(</w:t>
      </w:r>
      <w:r w:rsidR="00586888" w:rsidRPr="00586888">
        <w:rPr>
          <w:rFonts w:ascii="Times New Roman" w:hAnsi="Times New Roman"/>
          <w:b/>
          <w:sz w:val="32"/>
          <w:szCs w:val="32"/>
          <w:lang w:val="ru-RU" w:bidi="en-US"/>
        </w:rPr>
        <w:t xml:space="preserve">Цукор </w:t>
      </w:r>
      <w:r>
        <w:rPr>
          <w:rFonts w:ascii="Times New Roman" w:hAnsi="Times New Roman"/>
          <w:b/>
          <w:sz w:val="32"/>
          <w:szCs w:val="32"/>
          <w:lang w:val="ru-RU" w:bidi="en-US"/>
        </w:rPr>
        <w:t>)</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A96101">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lastRenderedPageBreak/>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A96101"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714AEA"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A96101"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A9610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w:t>
            </w:r>
            <w:r w:rsidR="00A96101">
              <w:rPr>
                <w:rFonts w:ascii="Times New Roman" w:hAnsi="Times New Roman"/>
                <w:b/>
                <w:color w:val="000000"/>
                <w:lang w:val="ru-RU" w:eastAsia="ru-RU"/>
              </w:rPr>
              <w:t xml:space="preserve">ульчинський </w:t>
            </w:r>
            <w:r w:rsidRPr="00FC2523">
              <w:rPr>
                <w:rFonts w:ascii="Times New Roman" w:hAnsi="Times New Roman"/>
                <w:b/>
                <w:color w:val="000000"/>
                <w:lang w:val="ru-RU" w:eastAsia="ru-RU"/>
              </w:rPr>
              <w:t xml:space="preserve"> район Вінницька область</w:t>
            </w:r>
          </w:p>
        </w:tc>
      </w:tr>
      <w:tr w:rsidR="00FC2523" w:rsidRPr="00A96101"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A96101"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A96101"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A96101" w:rsidP="00A96101">
            <w:pPr>
              <w:widowControl w:val="0"/>
              <w:ind w:firstLine="318"/>
              <w:rPr>
                <w:rFonts w:ascii="Times New Roman" w:hAnsi="Times New Roman"/>
                <w:sz w:val="20"/>
                <w:szCs w:val="20"/>
                <w:lang w:val="uk-UA"/>
              </w:rPr>
            </w:pPr>
            <w:r>
              <w:rPr>
                <w:rFonts w:ascii="Times New Roman" w:hAnsi="Times New Roman"/>
                <w:b/>
                <w:sz w:val="20"/>
                <w:szCs w:val="20"/>
                <w:lang w:val="ru-RU"/>
              </w:rPr>
              <w:t>310</w:t>
            </w:r>
            <w:r w:rsidR="00112E75" w:rsidRPr="00112E75">
              <w:rPr>
                <w:rFonts w:ascii="Times New Roman" w:hAnsi="Times New Roman"/>
                <w:b/>
                <w:sz w:val="20"/>
                <w:szCs w:val="20"/>
                <w:lang w:val="ru-RU"/>
              </w:rPr>
              <w:t>0</w:t>
            </w:r>
            <w:r w:rsidR="00787853" w:rsidRPr="0078785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uk-UA"/>
              </w:rPr>
              <w:t xml:space="preserve">Тридцять одна </w:t>
            </w:r>
            <w:r w:rsidR="00A939D1">
              <w:rPr>
                <w:rFonts w:ascii="Times New Roman" w:hAnsi="Times New Roman"/>
                <w:sz w:val="20"/>
                <w:szCs w:val="20"/>
                <w:lang w:val="uk-UA"/>
              </w:rPr>
              <w:t xml:space="preserve"> </w:t>
            </w:r>
            <w:r w:rsidR="00FC2523">
              <w:rPr>
                <w:rFonts w:ascii="Times New Roman" w:hAnsi="Times New Roman"/>
                <w:sz w:val="20"/>
                <w:szCs w:val="20"/>
                <w:lang w:val="uk-UA"/>
              </w:rPr>
              <w:t>тисяч</w:t>
            </w:r>
            <w:r>
              <w:rPr>
                <w:rFonts w:ascii="Times New Roman" w:hAnsi="Times New Roman"/>
                <w:sz w:val="20"/>
                <w:szCs w:val="20"/>
                <w:lang w:val="uk-UA"/>
              </w:rPr>
              <w:t xml:space="preserve">а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891E24" w:rsidRPr="002C74E2" w:rsidTr="00152E40">
        <w:trPr>
          <w:trHeight w:val="520"/>
          <w:jc w:val="center"/>
        </w:trPr>
        <w:tc>
          <w:tcPr>
            <w:tcW w:w="763" w:type="dxa"/>
            <w:tcMar>
              <w:left w:w="103" w:type="dxa"/>
            </w:tcMar>
          </w:tcPr>
          <w:p w:rsidR="00891E24" w:rsidRPr="00854729" w:rsidRDefault="00891E2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91E24" w:rsidRPr="000A7B57" w:rsidRDefault="00891E2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891E24" w:rsidRDefault="00891E24" w:rsidP="0053335E">
            <w:pPr>
              <w:widowControl w:val="0"/>
              <w:suppressAutoHyphens/>
              <w:autoSpaceDE w:val="0"/>
              <w:jc w:val="center"/>
              <w:rPr>
                <w:rFonts w:ascii="Times New Roman" w:hAnsi="Times New Roman"/>
                <w:lang w:val="ru-RU" w:bidi="en-US"/>
              </w:rPr>
            </w:pPr>
            <w:r w:rsidRPr="0034640C">
              <w:rPr>
                <w:rFonts w:ascii="Times New Roman" w:hAnsi="Times New Roman"/>
                <w:b/>
                <w:color w:val="000000"/>
                <w:lang w:val="ru-RU"/>
              </w:rPr>
              <w:t xml:space="preserve"> </w:t>
            </w:r>
            <w:r w:rsidRPr="00FC2523">
              <w:rPr>
                <w:rFonts w:ascii="Times New Roman" w:hAnsi="Times New Roman"/>
                <w:lang w:val="ru-RU" w:bidi="en-US"/>
              </w:rPr>
              <w:t>Код згідно ДК 021:2015 «Єдиний закупівельний словник» -</w:t>
            </w:r>
            <w:r w:rsidR="00586888">
              <w:rPr>
                <w:rFonts w:ascii="Times New Roman" w:hAnsi="Times New Roman"/>
                <w:lang w:val="ru-RU" w:bidi="en-US"/>
              </w:rPr>
              <w:t>15830000-5 Цукор і супутня продукція</w:t>
            </w:r>
            <w:r w:rsidR="000630B8">
              <w:rPr>
                <w:rFonts w:ascii="Times New Roman" w:hAnsi="Times New Roman"/>
                <w:lang w:val="ru-RU" w:bidi="en-US"/>
              </w:rPr>
              <w:t xml:space="preserve"> </w:t>
            </w:r>
          </w:p>
          <w:p w:rsidR="00891E24" w:rsidRPr="0024511C" w:rsidRDefault="00891E24" w:rsidP="00586888">
            <w:pPr>
              <w:widowControl w:val="0"/>
              <w:suppressAutoHyphens/>
              <w:autoSpaceDE w:val="0"/>
              <w:jc w:val="center"/>
              <w:rPr>
                <w:rFonts w:ascii="Times New Roman" w:hAnsi="Times New Roman"/>
                <w:b/>
                <w:bCs/>
                <w:lang w:val="ru-RU"/>
              </w:rPr>
            </w:pPr>
            <w:r>
              <w:rPr>
                <w:rFonts w:ascii="Times New Roman" w:hAnsi="Times New Roman"/>
                <w:lang w:val="ru-RU" w:bidi="en-US"/>
              </w:rPr>
              <w:t>(</w:t>
            </w:r>
            <w:r w:rsidR="00586888">
              <w:rPr>
                <w:rFonts w:ascii="Times New Roman" w:hAnsi="Times New Roman"/>
                <w:lang w:val="ru-RU" w:bidi="en-US"/>
              </w:rPr>
              <w:t>Цукор</w:t>
            </w:r>
            <w:r w:rsidR="000630B8">
              <w:rPr>
                <w:rFonts w:ascii="Times New Roman" w:hAnsi="Times New Roman"/>
                <w:lang w:val="ru-RU" w:bidi="en-US"/>
              </w:rPr>
              <w:t xml:space="preserve"> </w:t>
            </w:r>
            <w:r>
              <w:rPr>
                <w:rFonts w:ascii="Times New Roman" w:hAnsi="Times New Roman"/>
                <w:lang w:val="ru-RU" w:bidi="en-US"/>
              </w:rPr>
              <w:t>)</w:t>
            </w:r>
          </w:p>
        </w:tc>
      </w:tr>
      <w:tr w:rsidR="0034640C" w:rsidRPr="00A96101"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w:t>
            </w:r>
            <w:r w:rsidR="00A96101">
              <w:rPr>
                <w:rFonts w:ascii="Times New Roman" w:hAnsi="Times New Roman"/>
                <w:b/>
                <w:color w:val="000000"/>
                <w:lang w:val="ru-RU" w:eastAsia="ru-RU"/>
              </w:rPr>
              <w:t xml:space="preserve">ева,46 с.Антопіль Тульчинський </w:t>
            </w:r>
            <w:r w:rsidRPr="000C1896">
              <w:rPr>
                <w:rFonts w:ascii="Times New Roman" w:hAnsi="Times New Roman"/>
                <w:b/>
                <w:color w:val="000000"/>
                <w:lang w:val="ru-RU" w:eastAsia="ru-RU"/>
              </w:rPr>
              <w:t>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A96101"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A96101"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A96101"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A96101"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A9610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A96101"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A96101"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A9610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07A69">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A96101">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A96101">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A9610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A96101"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A96101">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A96101">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A96101"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A9610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A96101"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A96101"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A96101">
              <w:rPr>
                <w:rFonts w:ascii="Times New Roman" w:hAnsi="Times New Roman"/>
                <w:sz w:val="20"/>
                <w:szCs w:val="20"/>
                <w:highlight w:val="yellow"/>
                <w:lang w:val="ru-RU"/>
              </w:rPr>
              <w:t>18</w:t>
            </w:r>
            <w:r w:rsidRPr="004A714B">
              <w:rPr>
                <w:rFonts w:ascii="Times New Roman" w:hAnsi="Times New Roman"/>
                <w:sz w:val="20"/>
                <w:szCs w:val="20"/>
                <w:highlight w:val="yellow"/>
                <w:lang w:val="ru-RU"/>
              </w:rPr>
              <w:t>.</w:t>
            </w:r>
            <w:r w:rsidR="00F12D8D" w:rsidRPr="00F12D8D">
              <w:rPr>
                <w:rFonts w:ascii="Times New Roman" w:hAnsi="Times New Roman"/>
                <w:sz w:val="20"/>
                <w:szCs w:val="20"/>
                <w:highlight w:val="yellow"/>
                <w:lang w:val="ru-RU"/>
              </w:rPr>
              <w:t>0</w:t>
            </w:r>
            <w:r w:rsidR="00A96101">
              <w:rPr>
                <w:rFonts w:ascii="Times New Roman" w:hAnsi="Times New Roman"/>
                <w:sz w:val="20"/>
                <w:szCs w:val="20"/>
                <w:highlight w:val="yellow"/>
                <w:lang w:val="ru-RU"/>
              </w:rPr>
              <w:t>3</w:t>
            </w:r>
            <w:r w:rsidRPr="004A714B">
              <w:rPr>
                <w:rFonts w:ascii="Times New Roman" w:hAnsi="Times New Roman"/>
                <w:sz w:val="20"/>
                <w:szCs w:val="20"/>
                <w:highlight w:val="yellow"/>
                <w:lang w:val="ru-RU"/>
              </w:rPr>
              <w:t>.202</w:t>
            </w:r>
            <w:r w:rsidR="00A96101">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A96101"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714AEA"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714AEA"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714AEA"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714AEA"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00F36032"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F36032" w:rsidRPr="00430A0A" w:rsidRDefault="00714AEA"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714AEA"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714AEA"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714AEA"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A9610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Проект д</w:t>
            </w:r>
            <w:r w:rsidR="00B910F4">
              <w:rPr>
                <w:rFonts w:ascii="Times New Roman" w:hAnsi="Times New Roman"/>
                <w:sz w:val="20"/>
                <w:szCs w:val="20"/>
                <w:lang w:val="ru-RU"/>
              </w:rPr>
              <w:t xml:space="preserve">оговору про закупівлю (Додаток </w:t>
            </w:r>
            <w:r w:rsidR="00B910F4" w:rsidRPr="00B910F4">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A96101"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A96101"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A9610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A9610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A9610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A96101"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A96101"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A96101">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w:t>
            </w:r>
            <w:r w:rsidR="00A96101">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7E" w:rsidRDefault="008C1A7E">
      <w:r>
        <w:separator/>
      </w:r>
    </w:p>
  </w:endnote>
  <w:endnote w:type="continuationSeparator" w:id="1">
    <w:p w:rsidR="008C1A7E" w:rsidRDefault="008C1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7E" w:rsidRDefault="008C1A7E">
      <w:r>
        <w:separator/>
      </w:r>
    </w:p>
  </w:footnote>
  <w:footnote w:type="continuationSeparator" w:id="1">
    <w:p w:rsidR="008C1A7E" w:rsidRDefault="008C1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714AEA">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A96101">
      <w:rPr>
        <w:noProof/>
        <w:sz w:val="21"/>
        <w:szCs w:val="21"/>
      </w:rPr>
      <w:t>17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630B8"/>
    <w:rsid w:val="000716BB"/>
    <w:rsid w:val="000732A8"/>
    <w:rsid w:val="000C1896"/>
    <w:rsid w:val="000C33DD"/>
    <w:rsid w:val="000C3DAF"/>
    <w:rsid w:val="000E239A"/>
    <w:rsid w:val="000E603D"/>
    <w:rsid w:val="000E6A2F"/>
    <w:rsid w:val="000F451D"/>
    <w:rsid w:val="00106806"/>
    <w:rsid w:val="00112E75"/>
    <w:rsid w:val="0012123E"/>
    <w:rsid w:val="0013199A"/>
    <w:rsid w:val="00144A81"/>
    <w:rsid w:val="001522AB"/>
    <w:rsid w:val="001677FD"/>
    <w:rsid w:val="00170A9A"/>
    <w:rsid w:val="00172E39"/>
    <w:rsid w:val="001875C6"/>
    <w:rsid w:val="00193950"/>
    <w:rsid w:val="001A48E5"/>
    <w:rsid w:val="001A56FD"/>
    <w:rsid w:val="001A664F"/>
    <w:rsid w:val="001B4463"/>
    <w:rsid w:val="001C4147"/>
    <w:rsid w:val="001E62B1"/>
    <w:rsid w:val="001F0CEF"/>
    <w:rsid w:val="00203775"/>
    <w:rsid w:val="00220DF4"/>
    <w:rsid w:val="0024511C"/>
    <w:rsid w:val="00252019"/>
    <w:rsid w:val="002524FA"/>
    <w:rsid w:val="0027072A"/>
    <w:rsid w:val="00270E5F"/>
    <w:rsid w:val="0028041A"/>
    <w:rsid w:val="00281259"/>
    <w:rsid w:val="00283644"/>
    <w:rsid w:val="00284FA8"/>
    <w:rsid w:val="0028610F"/>
    <w:rsid w:val="00290D9B"/>
    <w:rsid w:val="002A0880"/>
    <w:rsid w:val="002A14B0"/>
    <w:rsid w:val="002B48C4"/>
    <w:rsid w:val="002C4AAF"/>
    <w:rsid w:val="002C74E2"/>
    <w:rsid w:val="002D37C1"/>
    <w:rsid w:val="002D37C8"/>
    <w:rsid w:val="002E1717"/>
    <w:rsid w:val="002E73BC"/>
    <w:rsid w:val="002F44E0"/>
    <w:rsid w:val="00311DD9"/>
    <w:rsid w:val="003146AC"/>
    <w:rsid w:val="003347E9"/>
    <w:rsid w:val="0034640C"/>
    <w:rsid w:val="0035579D"/>
    <w:rsid w:val="00370268"/>
    <w:rsid w:val="00396222"/>
    <w:rsid w:val="0039655F"/>
    <w:rsid w:val="003B5DC3"/>
    <w:rsid w:val="003E7C59"/>
    <w:rsid w:val="003F5430"/>
    <w:rsid w:val="00400300"/>
    <w:rsid w:val="0040459D"/>
    <w:rsid w:val="00417824"/>
    <w:rsid w:val="004215D4"/>
    <w:rsid w:val="004221F5"/>
    <w:rsid w:val="00423667"/>
    <w:rsid w:val="00430A0A"/>
    <w:rsid w:val="00443F68"/>
    <w:rsid w:val="004555B8"/>
    <w:rsid w:val="00457B86"/>
    <w:rsid w:val="00473574"/>
    <w:rsid w:val="0048274B"/>
    <w:rsid w:val="00495633"/>
    <w:rsid w:val="004A4C68"/>
    <w:rsid w:val="004A714B"/>
    <w:rsid w:val="004B0DFF"/>
    <w:rsid w:val="004B3E9A"/>
    <w:rsid w:val="004D02E5"/>
    <w:rsid w:val="004D2B87"/>
    <w:rsid w:val="004E79B9"/>
    <w:rsid w:val="004F05EE"/>
    <w:rsid w:val="0050698C"/>
    <w:rsid w:val="00507149"/>
    <w:rsid w:val="00527C59"/>
    <w:rsid w:val="00535009"/>
    <w:rsid w:val="0054095E"/>
    <w:rsid w:val="00541D7A"/>
    <w:rsid w:val="00543878"/>
    <w:rsid w:val="00545F72"/>
    <w:rsid w:val="005479D9"/>
    <w:rsid w:val="00552E0E"/>
    <w:rsid w:val="0058157D"/>
    <w:rsid w:val="00586888"/>
    <w:rsid w:val="00597D38"/>
    <w:rsid w:val="005B02B3"/>
    <w:rsid w:val="005B2B9B"/>
    <w:rsid w:val="00632096"/>
    <w:rsid w:val="00640240"/>
    <w:rsid w:val="006452C3"/>
    <w:rsid w:val="006910BB"/>
    <w:rsid w:val="00693BE1"/>
    <w:rsid w:val="006B1C14"/>
    <w:rsid w:val="006B4AB7"/>
    <w:rsid w:val="006B555A"/>
    <w:rsid w:val="006B7ECD"/>
    <w:rsid w:val="006C0FAA"/>
    <w:rsid w:val="006C1A90"/>
    <w:rsid w:val="006D6002"/>
    <w:rsid w:val="006E1043"/>
    <w:rsid w:val="00701E7C"/>
    <w:rsid w:val="007112BF"/>
    <w:rsid w:val="00714AEA"/>
    <w:rsid w:val="00724BEC"/>
    <w:rsid w:val="00727A47"/>
    <w:rsid w:val="00730B7C"/>
    <w:rsid w:val="00735B31"/>
    <w:rsid w:val="007446B3"/>
    <w:rsid w:val="007544B7"/>
    <w:rsid w:val="007632E8"/>
    <w:rsid w:val="0076614E"/>
    <w:rsid w:val="007718CA"/>
    <w:rsid w:val="00780DA6"/>
    <w:rsid w:val="007829CC"/>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23A42"/>
    <w:rsid w:val="00837660"/>
    <w:rsid w:val="00837A93"/>
    <w:rsid w:val="00854729"/>
    <w:rsid w:val="008560B8"/>
    <w:rsid w:val="00856F93"/>
    <w:rsid w:val="0087163F"/>
    <w:rsid w:val="00885169"/>
    <w:rsid w:val="00891E24"/>
    <w:rsid w:val="0089322D"/>
    <w:rsid w:val="00894743"/>
    <w:rsid w:val="008A2C30"/>
    <w:rsid w:val="008A5F7B"/>
    <w:rsid w:val="008A69E2"/>
    <w:rsid w:val="008B5FEA"/>
    <w:rsid w:val="008C1A7E"/>
    <w:rsid w:val="008C5D2D"/>
    <w:rsid w:val="008C649B"/>
    <w:rsid w:val="008C7A97"/>
    <w:rsid w:val="008D5013"/>
    <w:rsid w:val="008E51D0"/>
    <w:rsid w:val="008E787B"/>
    <w:rsid w:val="009508A9"/>
    <w:rsid w:val="00951D22"/>
    <w:rsid w:val="00955AE7"/>
    <w:rsid w:val="00982549"/>
    <w:rsid w:val="0098455B"/>
    <w:rsid w:val="00990F70"/>
    <w:rsid w:val="009938C9"/>
    <w:rsid w:val="00997D74"/>
    <w:rsid w:val="009A70F5"/>
    <w:rsid w:val="009B569A"/>
    <w:rsid w:val="009C38E7"/>
    <w:rsid w:val="009D119C"/>
    <w:rsid w:val="009D1AC8"/>
    <w:rsid w:val="009F14EF"/>
    <w:rsid w:val="009F2E9D"/>
    <w:rsid w:val="009F7ACC"/>
    <w:rsid w:val="00A12CF2"/>
    <w:rsid w:val="00A14407"/>
    <w:rsid w:val="00A161B2"/>
    <w:rsid w:val="00A2076A"/>
    <w:rsid w:val="00A20839"/>
    <w:rsid w:val="00A25BFE"/>
    <w:rsid w:val="00A27641"/>
    <w:rsid w:val="00A53EA6"/>
    <w:rsid w:val="00A55B36"/>
    <w:rsid w:val="00A61F49"/>
    <w:rsid w:val="00A63353"/>
    <w:rsid w:val="00A714CB"/>
    <w:rsid w:val="00A757D5"/>
    <w:rsid w:val="00A85F48"/>
    <w:rsid w:val="00A939D1"/>
    <w:rsid w:val="00A96101"/>
    <w:rsid w:val="00AA2C61"/>
    <w:rsid w:val="00AA37EA"/>
    <w:rsid w:val="00AA75C8"/>
    <w:rsid w:val="00AB2FB3"/>
    <w:rsid w:val="00AB3558"/>
    <w:rsid w:val="00AC6D21"/>
    <w:rsid w:val="00AD3582"/>
    <w:rsid w:val="00AE42C8"/>
    <w:rsid w:val="00AE60DD"/>
    <w:rsid w:val="00AE6D7F"/>
    <w:rsid w:val="00AF0157"/>
    <w:rsid w:val="00AF553B"/>
    <w:rsid w:val="00B02409"/>
    <w:rsid w:val="00B027BA"/>
    <w:rsid w:val="00B26CF5"/>
    <w:rsid w:val="00B37C0B"/>
    <w:rsid w:val="00B41F46"/>
    <w:rsid w:val="00B51D35"/>
    <w:rsid w:val="00B54F75"/>
    <w:rsid w:val="00B65912"/>
    <w:rsid w:val="00B67A3B"/>
    <w:rsid w:val="00B81FD9"/>
    <w:rsid w:val="00B857B1"/>
    <w:rsid w:val="00B903B9"/>
    <w:rsid w:val="00B910F4"/>
    <w:rsid w:val="00B9211E"/>
    <w:rsid w:val="00B97435"/>
    <w:rsid w:val="00B97DEE"/>
    <w:rsid w:val="00BC78AC"/>
    <w:rsid w:val="00BD7E00"/>
    <w:rsid w:val="00BE54C1"/>
    <w:rsid w:val="00BE71AD"/>
    <w:rsid w:val="00C052D1"/>
    <w:rsid w:val="00C07A69"/>
    <w:rsid w:val="00C56202"/>
    <w:rsid w:val="00C669FB"/>
    <w:rsid w:val="00C7660D"/>
    <w:rsid w:val="00C773FC"/>
    <w:rsid w:val="00C90DF6"/>
    <w:rsid w:val="00CA2E50"/>
    <w:rsid w:val="00CB406F"/>
    <w:rsid w:val="00CC57DD"/>
    <w:rsid w:val="00CD5138"/>
    <w:rsid w:val="00CD6AA9"/>
    <w:rsid w:val="00CF1D89"/>
    <w:rsid w:val="00D41D65"/>
    <w:rsid w:val="00D5627F"/>
    <w:rsid w:val="00D602EC"/>
    <w:rsid w:val="00D67F26"/>
    <w:rsid w:val="00D73B17"/>
    <w:rsid w:val="00D77C83"/>
    <w:rsid w:val="00D819B9"/>
    <w:rsid w:val="00D905CB"/>
    <w:rsid w:val="00D955E3"/>
    <w:rsid w:val="00DA51FD"/>
    <w:rsid w:val="00DC0B1E"/>
    <w:rsid w:val="00DD0F34"/>
    <w:rsid w:val="00DE148F"/>
    <w:rsid w:val="00DE3391"/>
    <w:rsid w:val="00E0388A"/>
    <w:rsid w:val="00E23678"/>
    <w:rsid w:val="00E34ACD"/>
    <w:rsid w:val="00E4479C"/>
    <w:rsid w:val="00E53018"/>
    <w:rsid w:val="00E63826"/>
    <w:rsid w:val="00E6427D"/>
    <w:rsid w:val="00E736F7"/>
    <w:rsid w:val="00E73874"/>
    <w:rsid w:val="00E7713B"/>
    <w:rsid w:val="00E8008D"/>
    <w:rsid w:val="00E869CD"/>
    <w:rsid w:val="00E9096C"/>
    <w:rsid w:val="00EC1CAF"/>
    <w:rsid w:val="00EC2AEC"/>
    <w:rsid w:val="00EC757E"/>
    <w:rsid w:val="00ED4210"/>
    <w:rsid w:val="00EE51B0"/>
    <w:rsid w:val="00EF0291"/>
    <w:rsid w:val="00EF6FEE"/>
    <w:rsid w:val="00F00A59"/>
    <w:rsid w:val="00F066D4"/>
    <w:rsid w:val="00F12D8D"/>
    <w:rsid w:val="00F20E1F"/>
    <w:rsid w:val="00F30DFC"/>
    <w:rsid w:val="00F319B2"/>
    <w:rsid w:val="00F3368B"/>
    <w:rsid w:val="00F3528E"/>
    <w:rsid w:val="00F36032"/>
    <w:rsid w:val="00F429A7"/>
    <w:rsid w:val="00F64187"/>
    <w:rsid w:val="00F675E0"/>
    <w:rsid w:val="00F70665"/>
    <w:rsid w:val="00F70877"/>
    <w:rsid w:val="00F76482"/>
    <w:rsid w:val="00F9022E"/>
    <w:rsid w:val="00F93B29"/>
    <w:rsid w:val="00F94C03"/>
    <w:rsid w:val="00FA163A"/>
    <w:rsid w:val="00FA3880"/>
    <w:rsid w:val="00FA54AF"/>
    <w:rsid w:val="00FA5EB4"/>
    <w:rsid w:val="00FB6D0D"/>
    <w:rsid w:val="00FC2523"/>
    <w:rsid w:val="00FC4D0A"/>
    <w:rsid w:val="00FD7F5E"/>
    <w:rsid w:val="00FF049F"/>
    <w:rsid w:val="00FF6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7500</Words>
  <Characters>42753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174</cp:revision>
  <dcterms:created xsi:type="dcterms:W3CDTF">2017-02-01T12:28:00Z</dcterms:created>
  <dcterms:modified xsi:type="dcterms:W3CDTF">2024-03-08T09:29:00Z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