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C259F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  <w:bookmarkStart w:id="0" w:name="_GoBack"/>
      <w:bookmarkEnd w:id="0"/>
    </w:p>
    <w:p w:rsidR="00B9524B" w:rsidRPr="00020173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 w:rsidRPr="00020173">
        <w:rPr>
          <w:rFonts w:ascii="Times New Roman" w:eastAsia="Times New Roman" w:hAnsi="Times New Roman" w:cs="Times New Roman"/>
          <w:b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021B16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36EC2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 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П</w:t>
            </w:r>
            <w:proofErr w:type="gramEnd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39537A">
              <w:rPr>
                <w:rFonts w:ascii="Times New Roman" w:eastAsia="Times New Roman" w:hAnsi="Times New Roman" w:cs="Times New Roman"/>
                <w:i/>
                <w:color w:val="000000"/>
              </w:rPr>
              <w:t>в</w:t>
            </w:r>
            <w:proofErr w:type="gramEnd"/>
          </w:p>
          <w:p w:rsidR="00B9524B" w:rsidRPr="00021B16" w:rsidRDefault="00B9524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Default="00247A2C" w:rsidP="00021B1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Довідкапро наявність обладнання, матеріально-технічної бази та технологій, необхідних для надання послуг</w:t>
            </w:r>
            <w:r w:rsidR="00021B16" w:rsidRPr="00125F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які учасник буде використовувати під час надання послуг, що є предметом закупівлі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747"/>
              <w:gridCol w:w="2245"/>
              <w:gridCol w:w="1540"/>
              <w:gridCol w:w="2681"/>
            </w:tblGrid>
            <w:tr w:rsidR="00021B16" w:rsidRPr="00C3671F" w:rsidTr="00AA168B">
              <w:trPr>
                <w:trHeight w:val="1181"/>
              </w:trPr>
              <w:tc>
                <w:tcPr>
                  <w:tcW w:w="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№ з/</w:t>
                  </w:r>
                  <w:proofErr w:type="gramStart"/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sz w:val="20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168B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lang w:val="uk-UA"/>
                    </w:rPr>
                    <w:t xml:space="preserve">Зазначення приналежності (власне, орендоване, </w:t>
                  </w: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>субпідрядника /</w:t>
                  </w:r>
                </w:p>
                <w:p w:rsidR="00021B16" w:rsidRPr="00FD7074" w:rsidRDefault="00021B16" w:rsidP="0002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uk-UA"/>
                    </w:rPr>
                  </w:pPr>
                  <w:r w:rsidRPr="00FD7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val="uk-UA"/>
                    </w:rPr>
                    <w:t xml:space="preserve"> співвиконавця.</w:t>
                  </w:r>
                </w:p>
              </w:tc>
            </w:tr>
            <w:tr w:rsidR="00021B16" w:rsidRPr="00C3671F" w:rsidTr="00AA168B">
              <w:trPr>
                <w:trHeight w:val="109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C3671F" w:rsidTr="00AA168B">
              <w:trPr>
                <w:trHeight w:val="358"/>
              </w:trPr>
              <w:tc>
                <w:tcPr>
                  <w:tcW w:w="74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3671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245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40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16" w:rsidRPr="00C3671F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3671F" w:rsidRDefault="00C3671F" w:rsidP="00743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Матеріально-технічна база має відповідати умовам, визначеним в Постанові Кабінету Міністрів України від 23 листопада 2016 р. № 852</w:t>
            </w:r>
          </w:p>
          <w:p w:rsidR="00C3671F" w:rsidRDefault="00C3671F" w:rsidP="00743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B9524B" w:rsidRPr="00AB1B34" w:rsidRDefault="00021B16" w:rsidP="0074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</w:tc>
      </w:tr>
      <w:tr w:rsidR="00021B16" w:rsidRPr="00247A2C" w:rsidTr="001F176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40740" w:rsidRDefault="00021B16" w:rsidP="0002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39537A" w:rsidRPr="0039537A" w:rsidRDefault="0039537A" w:rsidP="0039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* Під час закупівлі робіт або послуг у разі встановлення кваліфікаційного критерію, такого як </w:t>
            </w:r>
            <w:r w:rsidRPr="0039537A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lastRenderedPageBreak/>
              <w:t>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021B16" w:rsidRPr="00F50E6F" w:rsidRDefault="00021B1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B16" w:rsidRPr="00953F5A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2.1</w:t>
            </w:r>
            <w:r w:rsidR="00021B16" w:rsidRPr="0094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Довідка про наявність працівників відповідної кваліфікації, які мають необхідні знання та досвід, за </w:t>
            </w:r>
            <w:r w:rsidR="00021B16" w:rsidRPr="00953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встановленою формою: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2"/>
              <w:gridCol w:w="652"/>
              <w:gridCol w:w="1201"/>
              <w:gridCol w:w="1197"/>
              <w:gridCol w:w="1999"/>
              <w:gridCol w:w="1847"/>
            </w:tblGrid>
            <w:tr w:rsidR="00021B16" w:rsidRPr="00953F5A" w:rsidTr="00021B16">
              <w:trPr>
                <w:trHeight w:val="476"/>
              </w:trPr>
              <w:tc>
                <w:tcPr>
                  <w:tcW w:w="7348" w:type="dxa"/>
                  <w:gridSpan w:val="6"/>
                </w:tcPr>
                <w:p w:rsidR="00021B16" w:rsidRPr="00953F5A" w:rsidRDefault="00021B16" w:rsidP="00021B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Довідка про працівників відповідної кваліфікації,</w:t>
                  </w:r>
                </w:p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3F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які мають необхідні знання та досвід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1178"/>
              </w:trPr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ІБ </w:t>
                  </w:r>
                </w:p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стаж роботи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 xml:space="preserve"> на даній посалі</w:t>
                  </w:r>
                  <w:r w:rsidRPr="00953F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r w:rsidRPr="00953F5A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років)</w:t>
                  </w:r>
                </w:p>
              </w:tc>
              <w:tc>
                <w:tcPr>
                  <w:tcW w:w="19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Працівник учасника/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**працівник субпідрядника/</w:t>
                  </w:r>
                </w:p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</w:p>
              </w:tc>
              <w:tc>
                <w:tcPr>
                  <w:tcW w:w="18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before="40" w:after="40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**Назва </w:t>
                  </w: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230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1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3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4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5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FD7074" w:rsidRDefault="00021B16" w:rsidP="00021B16">
                  <w:pPr>
                    <w:snapToGrid w:val="0"/>
                    <w:spacing w:line="109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6</w:t>
                  </w:r>
                  <w:r w:rsidRPr="00FD7074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021B16" w:rsidRPr="00953F5A" w:rsidTr="00021B1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A0"/>
              </w:tblPrEx>
              <w:trPr>
                <w:trHeight w:val="358"/>
              </w:trPr>
              <w:tc>
                <w:tcPr>
                  <w:tcW w:w="4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3F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9" w:type="dxa"/>
                  <w:tcBorders>
                    <w:left w:val="single" w:sz="8" w:space="0" w:color="000000"/>
                    <w:bottom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21B16" w:rsidRPr="00953F5A" w:rsidRDefault="00021B16" w:rsidP="00021B16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21B16" w:rsidRDefault="00021B16" w:rsidP="00021B16">
            <w:pPr>
              <w:shd w:val="clear" w:color="auto" w:fill="FFFFFF"/>
              <w:spacing w:after="0"/>
              <w:jc w:val="center"/>
              <w:rPr>
                <w:b/>
                <w:lang w:val="uk-UA"/>
              </w:rPr>
            </w:pP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lastRenderedPageBreak/>
              <w:t xml:space="preserve">Посада, </w:t>
            </w:r>
            <w:r w:rsidRPr="00B3402A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Власне ім’я та ПРІЗВИЩЕ</w:t>
            </w:r>
            <w:r w:rsidRPr="00B3402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  <w:t>, підпис уповноваженої особи Учасника.</w:t>
            </w: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40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247A2C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247A2C" w:rsidRPr="00247A2C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2.2.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довідки додати</w:t>
            </w:r>
            <w:r w:rsidRPr="00247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-дійсне </w:t>
            </w: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посвідчення працівника та витяг з </w:t>
            </w:r>
          </w:p>
          <w:p w:rsidR="00247A2C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протоколу засідання комісії з перевірки знань з питань</w:t>
            </w:r>
          </w:p>
          <w:p w:rsidR="00247A2C" w:rsidRPr="00AB1B34" w:rsidRDefault="00247A2C" w:rsidP="00247A2C">
            <w:pPr>
              <w:pStyle w:val="a6"/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left="405" w:right="-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праці;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-дійсне посвідчення працівника про допуск до роботи в </w:t>
            </w:r>
          </w:p>
          <w:p w:rsidR="00247A2C" w:rsidRPr="00AB1B34" w:rsidRDefault="00247A2C" w:rsidP="00247A2C">
            <w:pPr>
              <w:widowControl w:val="0"/>
              <w:shd w:val="clear" w:color="auto" w:fill="FFFFFF"/>
              <w:tabs>
                <w:tab w:val="left" w:pos="906"/>
              </w:tabs>
              <w:spacing w:after="0" w:line="240" w:lineRule="auto"/>
              <w:ind w:right="-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електроустановках з напругою до 1000 В</w:t>
            </w:r>
          </w:p>
          <w:p w:rsidR="00C3671F" w:rsidRDefault="00C3671F" w:rsidP="00C3671F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  - інженера з технічного нагляду;</w:t>
            </w:r>
          </w:p>
          <w:p w:rsidR="00C3671F" w:rsidRDefault="00C3671F" w:rsidP="00C3671F">
            <w:pPr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 - інженера-проектувальника у частині кошторисної документації.</w:t>
            </w:r>
          </w:p>
          <w:p w:rsidR="00247A2C" w:rsidRPr="00AB1B34" w:rsidRDefault="00247A2C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0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5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.Д</w:t>
            </w: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</w:t>
            </w:r>
            <w:r w:rsidR="00DB15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2021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 рр.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Не 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менше 1 копії договору, зазначеного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B1B34"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AB1B34" w:rsidRPr="00AB1B34" w:rsidRDefault="00021B16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К</w:t>
            </w:r>
            <w:r w:rsidR="00AB1B34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AB1B34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Аналогічний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B9524B" w:rsidRP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C3671F" w:rsidRDefault="00C3671F" w:rsidP="00C3671F">
      <w:pPr>
        <w:ind w:left="708"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C3671F" w:rsidRPr="00C3671F" w:rsidRDefault="00C3671F" w:rsidP="00C3671F">
      <w:pPr>
        <w:ind w:left="708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Інші документи, що вимагаються Замовником</w:t>
      </w:r>
    </w:p>
    <w:tbl>
      <w:tblPr>
        <w:tblW w:w="9810" w:type="dxa"/>
        <w:tblInd w:w="-34" w:type="dxa"/>
        <w:tblLayout w:type="fixed"/>
        <w:tblLook w:val="04A0"/>
      </w:tblPr>
      <w:tblGrid>
        <w:gridCol w:w="2836"/>
        <w:gridCol w:w="6974"/>
      </w:tblGrid>
      <w:tr w:rsid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Вимога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Документи щодо підтвердження інформації про відповідність вимогам</w:t>
            </w:r>
          </w:p>
        </w:tc>
      </w:tr>
      <w:tr w:rsidR="00C3671F" w:rsidRP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Pr="00C3671F" w:rsidRDefault="00C3671F" w:rsidP="00C3671F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1.1. Копію ліцензії, виданої на наступні види робіт: - Монтаж систем пожежної сигналізації, оповіщування про пожежу та управління евакуацією людей, устаткування передавання тривожних сповіщень на об’єктах з високим, середнім та незначним ступенем ризику щодо пожежної безпеки та\або надати ліцензію на надання послуг і виконання робіт протипожежного призначення.</w:t>
            </w:r>
          </w:p>
          <w:p w:rsidR="00C3671F" w:rsidRPr="00C3671F" w:rsidRDefault="00C3671F" w:rsidP="00C367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1.2. Зареєстрована у встановленому законом порядку Декларація що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підтверджує відповідність матеріально-технічної бази та умов праці вимогам законодавства з питань охорони праці під час виконання таких робіт підвищеної небезпеки та/або експлуатації (застосування) таких машин, механізмів, устаткування підвищеної небезпеки.</w:t>
            </w:r>
          </w:p>
        </w:tc>
      </w:tr>
      <w:tr w:rsidR="00C3671F" w:rsidTr="00C3671F">
        <w:trPr>
          <w:trHeight w:val="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Сертифікати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9001:2015 «Системи управління якістю. Вимоги».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lastRenderedPageBreak/>
              <w:t>- Сертифікат* ISO 37001:2016 «Системи управління щодо протидії корупції. Вимоги та настанови щодо застосування».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ISO 23932:2018 «Інжиніринг пожежної безпеки. Загальні принципи».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14001:2015 «Системи екологічного управління. Вимоги та настанови щодо застосування»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ISO 28000:2007 «Системи управління безпекою ланцюга постачаннь. Вимоги»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CEN/TS 54-14:2021 «Системи пожежної сигналізації та оповіщування. Частина 14. Настанови щодо побудови, проектування, монтування, пусконалагоджування, введення в експлуатацію, експлуатування та технічного обслуговування»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ISO 16732-1:2018 «Інжиніринг пожежної безпеки. Оцінювання пожежного ризику. Частина 1. Загальні положення»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ДСТУ 8965:2019«Система управління пожежною безпекою об’єкта захисту. Загальні положення»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 xml:space="preserve">- Сертифікат* ДСТУ ISO 45001:2019 «Системи управління охороною здоров’я та безпекою праці. Вимоги та настанови щодо застосування» 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на систему менеджменту соціальної відповідальності SA 8000:2014</w:t>
            </w:r>
          </w:p>
          <w:p w:rsidR="00C3671F" w:rsidRDefault="00C3671F" w:rsidP="00576FE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bCs/>
                <w:lang w:val="uk-UA" w:eastAsia="en-US"/>
              </w:rPr>
              <w:t>- Сертифікат*  ДСТУ ISO 50001:2020 «Системи енергетичного менеджменту. Вимоги та настанови щодо використання»»</w:t>
            </w:r>
          </w:p>
        </w:tc>
      </w:tr>
    </w:tbl>
    <w:p w:rsidR="00C3671F" w:rsidRDefault="00C3671F" w:rsidP="00C3671F">
      <w:pPr>
        <w:jc w:val="both"/>
        <w:rPr>
          <w:rFonts w:ascii="Times New Roman" w:hAnsi="Times New Roman" w:cs="Times New Roman"/>
          <w:iCs/>
        </w:rPr>
      </w:pPr>
    </w:p>
    <w:p w:rsidR="00C3671F" w:rsidRDefault="00C3671F" w:rsidP="00C3671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lang w:val="uk-UA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C3671F" w:rsidRDefault="00C3671F" w:rsidP="00C3671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</w:t>
      </w:r>
      <w:r w:rsidRPr="0016132A">
        <w:rPr>
          <w:rFonts w:ascii="Times New Roman" w:hAnsi="Times New Roman" w:cs="Times New Roman"/>
          <w:lang w:val="uk-UA" w:eastAsia="uk-UA"/>
        </w:rPr>
        <w:t>, також залучати субпідрядника</w:t>
      </w:r>
    </w:p>
    <w:p w:rsidR="00B9524B" w:rsidRPr="00C3671F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81059C" w:rsidRPr="00AB1B34" w:rsidRDefault="0081059C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3420DD">
        <w:trPr>
          <w:trHeight w:val="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21B16" w:rsidRPr="003420DD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0DD" w:rsidRDefault="003420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 w:rsidTr="00021B16">
        <w:trPr>
          <w:trHeight w:val="24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Замовник самостійно перевіряє інформацію про відсутність підстав, визначених підпунктом 3 пункту 47 Особливостей у Єдиному державному реєстрі осiб, якi вчинили корупцiйнi або пов’язанi корупцiєю правопорушення за посиланням  https://corruptinfo.nazk.gov.ua/.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Оскільки наразі Єдиний державний реєстр осiб, якi вчинили корупцiйнi або пов'язанi корупцiєю правопорушення у відповідності до Постанови КМУ  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керівника учасника процедури закупівлі, або фізичну особу, яка є учасником, видану НАЗК на </w:t>
            </w:r>
            <w:r w:rsidRPr="002B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дату не раніше дня оприлюднення оголошення про проведення цих відкритих торгів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електронній системі закупівель (надається переможцем виключно у разі, якщо протягом строку, визначеного п.47 Особливостей, буде відсутній вільний доступ до Єдиного державного реєстру осiб, якi вчинили корупцiйнi або пов'язанi корупцiєю правопорушення)*.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(файл з розширенням «.p7s»), який містить інформацію про час та дату підпису Витягу.</w:t>
            </w:r>
          </w:p>
          <w:p w:rsidR="00D1203C" w:rsidRPr="003A599F" w:rsidRDefault="00D1203C" w:rsidP="00D12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випадку письмового підтвердження переможцем інформації про неможливість </w:t>
            </w:r>
            <w:r w:rsidRPr="003A5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отримання вказаної довідки з технічних причин, обмеження роботи вказаного державного сервісу, переможець надає гарантійний лист про те, що керівника учасника-переможця процедури закупівлі, фізичну особу, яка є учасником-переможцем,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21B16" w:rsidRPr="004470CC" w:rsidRDefault="00021B16" w:rsidP="00021B1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987F7A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8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21B16" w:rsidRPr="00021B16" w:rsidRDefault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1B16" w:rsidRPr="00021B16" w:rsidRDefault="00021B16" w:rsidP="0002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повинен</w:t>
            </w:r>
            <w:proofErr w:type="gramEnd"/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бути не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раніше 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дати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021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1B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24B" w:rsidRPr="00021B16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 w:rsidTr="00B54BFF">
        <w:trPr>
          <w:trHeight w:val="12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45E07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B1B34" w:rsidRDefault="00F45E0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E07" w:rsidRPr="00AA168B" w:rsidRDefault="00F45E07" w:rsidP="00F45E07">
            <w:pPr>
              <w:widowControl w:val="0"/>
              <w:spacing w:line="240" w:lineRule="auto"/>
              <w:ind w:hanging="21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</w:pPr>
            <w:r w:rsidRPr="00AA168B">
              <w:rPr>
                <w:rFonts w:ascii="Times New Roman" w:eastAsia="Gulim" w:hAnsi="Times New Roman" w:cs="Times New Roman"/>
                <w:sz w:val="24"/>
                <w:szCs w:val="24"/>
                <w:lang w:val="uk-UA"/>
              </w:rPr>
              <w:t>Повноваження щодо підпису документів тендерної пропозиції уповноваженої особи учасника процедури 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F45E07" w:rsidRPr="00F45E07" w:rsidRDefault="00F45E0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3420DD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20D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</w:t>
            </w:r>
            <w:r w:rsid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громадянином Російської Федерації/Республіки Білорусь</w:t>
            </w:r>
            <w:r w:rsidR="00CE6F7E" w:rsidRPr="00B5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/Ісламської Республіки Іран</w:t>
            </w:r>
            <w:r w:rsidR="00CE6F7E" w:rsidRPr="00B54B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проживає на території України на законних </w:t>
            </w:r>
            <w:proofErr w:type="gramStart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B54B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ідставах, учасник у складі тендерної пропозиції має надати стосовно таких осіб: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D2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проживання або посвідкою на</w:t>
            </w:r>
            <w:r w:rsidR="0081059C"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постійне проживання або візою.</w:t>
            </w:r>
            <w:r w:rsidRPr="004D27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 w:rsidSect="001B0F5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9524B"/>
    <w:rsid w:val="00014710"/>
    <w:rsid w:val="00020173"/>
    <w:rsid w:val="00021B16"/>
    <w:rsid w:val="000D5C2A"/>
    <w:rsid w:val="001B0F50"/>
    <w:rsid w:val="001F176B"/>
    <w:rsid w:val="00220306"/>
    <w:rsid w:val="00247A2C"/>
    <w:rsid w:val="002B0549"/>
    <w:rsid w:val="003420DD"/>
    <w:rsid w:val="0039537A"/>
    <w:rsid w:val="004470CC"/>
    <w:rsid w:val="004D2767"/>
    <w:rsid w:val="004F2548"/>
    <w:rsid w:val="004F4F73"/>
    <w:rsid w:val="006270F1"/>
    <w:rsid w:val="00743E35"/>
    <w:rsid w:val="0077511B"/>
    <w:rsid w:val="00786DA4"/>
    <w:rsid w:val="0081059C"/>
    <w:rsid w:val="00987F7A"/>
    <w:rsid w:val="00AA168B"/>
    <w:rsid w:val="00AB1B34"/>
    <w:rsid w:val="00B54BFF"/>
    <w:rsid w:val="00B9524B"/>
    <w:rsid w:val="00C1748D"/>
    <w:rsid w:val="00C259FF"/>
    <w:rsid w:val="00C3671F"/>
    <w:rsid w:val="00CA785B"/>
    <w:rsid w:val="00CE23F1"/>
    <w:rsid w:val="00CE6F7E"/>
    <w:rsid w:val="00D1203C"/>
    <w:rsid w:val="00DB15E1"/>
    <w:rsid w:val="00F45E07"/>
    <w:rsid w:val="00F50E6F"/>
    <w:rsid w:val="00FC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0"/>
  </w:style>
  <w:style w:type="paragraph" w:styleId="1">
    <w:name w:val="heading 1"/>
    <w:basedOn w:val="a"/>
    <w:next w:val="a"/>
    <w:uiPriority w:val="9"/>
    <w:qFormat/>
    <w:rsid w:val="001B0F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B0F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B0F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B0F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B0F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B0F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B0F5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0F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1B0F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1B0F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1B0F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CE6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CFA616-49EB-48F2-A421-AB66FBE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cp:lastPrinted>2024-03-29T08:22:00Z</cp:lastPrinted>
  <dcterms:created xsi:type="dcterms:W3CDTF">2024-03-25T10:09:00Z</dcterms:created>
  <dcterms:modified xsi:type="dcterms:W3CDTF">2024-03-29T08:39:00Z</dcterms:modified>
</cp:coreProperties>
</file>