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5" w:rsidRPr="00782A87" w:rsidRDefault="00ED077B" w:rsidP="00E257C5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iCs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lang w:val="uk-UA"/>
        </w:rPr>
        <w:t>Додаток</w:t>
      </w:r>
      <w:r w:rsidR="00FC5474" w:rsidRPr="00ED077B">
        <w:rPr>
          <w:rFonts w:ascii="Times New Roman" w:hAnsi="Times New Roman" w:cs="Times New Roman"/>
          <w:b/>
          <w:bCs/>
          <w:iCs/>
          <w:lang w:val="uk-UA"/>
        </w:rPr>
        <w:t xml:space="preserve"> 5</w:t>
      </w:r>
      <w:bookmarkStart w:id="0" w:name="_GoBack"/>
      <w:bookmarkEnd w:id="0"/>
      <w:r w:rsidR="003B000A">
        <w:rPr>
          <w:rFonts w:ascii="Times New Roman" w:hAnsi="Times New Roman" w:cs="Times New Roman"/>
          <w:b/>
          <w:bCs/>
          <w:iCs/>
          <w:lang w:val="uk-UA"/>
        </w:rPr>
        <w:t xml:space="preserve"> </w:t>
      </w:r>
      <w:r w:rsidR="003B000A" w:rsidRPr="003B000A">
        <w:rPr>
          <w:rFonts w:ascii="Times New Roman" w:hAnsi="Times New Roman" w:cs="Times New Roman"/>
          <w:b/>
          <w:bCs/>
          <w:iCs/>
          <w:color w:val="FF0000"/>
          <w:lang w:val="uk-UA"/>
        </w:rPr>
        <w:t>зі ЗМІНАМИ</w:t>
      </w:r>
    </w:p>
    <w:p w:rsidR="00E257C5" w:rsidRPr="00ED077B" w:rsidRDefault="00E257C5" w:rsidP="00E257C5">
      <w:pPr>
        <w:jc w:val="right"/>
        <w:rPr>
          <w:rFonts w:ascii="Times New Roman" w:hAnsi="Times New Roman" w:cs="Times New Roman"/>
          <w:b/>
          <w:bCs/>
          <w:i/>
          <w:lang w:val="uk-UA"/>
        </w:rPr>
      </w:pPr>
      <w:r w:rsidRPr="00ED077B">
        <w:rPr>
          <w:rFonts w:ascii="Times New Roman" w:hAnsi="Times New Roman" w:cs="Times New Roman"/>
          <w:b/>
          <w:bCs/>
          <w:i/>
          <w:lang w:val="uk-UA"/>
        </w:rPr>
        <w:t>до тендерної документації</w:t>
      </w:r>
    </w:p>
    <w:p w:rsidR="00E257C5" w:rsidRPr="00ED077B" w:rsidRDefault="00E257C5" w:rsidP="00E257C5">
      <w:pPr>
        <w:shd w:val="clear" w:color="auto" w:fill="FFFFFF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E257C5" w:rsidRPr="00ED077B" w:rsidRDefault="00E257C5" w:rsidP="00E257C5">
      <w:pPr>
        <w:shd w:val="clear" w:color="auto" w:fill="FFFFFF"/>
        <w:ind w:hanging="15"/>
        <w:jc w:val="center"/>
        <w:rPr>
          <w:rFonts w:ascii="Times New Roman" w:hAnsi="Times New Roman" w:cs="Times New Roman"/>
          <w:b/>
          <w:bCs/>
          <w:iCs/>
          <w:spacing w:val="-3"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spacing w:val="-3"/>
          <w:lang w:val="uk-UA"/>
        </w:rPr>
        <w:t>Форма</w:t>
      </w:r>
    </w:p>
    <w:p w:rsidR="00E257C5" w:rsidRPr="00ED077B" w:rsidRDefault="00E257C5" w:rsidP="00E257C5">
      <w:pPr>
        <w:shd w:val="clear" w:color="auto" w:fill="FFFFFF"/>
        <w:ind w:hanging="15"/>
        <w:jc w:val="center"/>
        <w:rPr>
          <w:rFonts w:ascii="Times New Roman" w:hAnsi="Times New Roman" w:cs="Times New Roman"/>
          <w:b/>
          <w:bCs/>
          <w:iCs/>
          <w:spacing w:val="-3"/>
          <w:lang w:val="uk-UA"/>
        </w:rPr>
      </w:pPr>
      <w:r w:rsidRPr="00ED077B">
        <w:rPr>
          <w:rFonts w:ascii="Times New Roman" w:hAnsi="Times New Roman" w:cs="Times New Roman"/>
          <w:b/>
          <w:bCs/>
          <w:iCs/>
          <w:spacing w:val="-3"/>
          <w:lang w:val="uk-UA"/>
        </w:rPr>
        <w:t>ТЕНДЕРНА ПРОПОЗИЦІЯ</w:t>
      </w:r>
    </w:p>
    <w:p w:rsidR="00782A87" w:rsidRPr="00782A87" w:rsidRDefault="0083329B" w:rsidP="00B750C7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D71511">
        <w:rPr>
          <w:rFonts w:ascii="Times New Roman" w:hAnsi="Times New Roman" w:cs="Times New Roman"/>
          <w:b/>
          <w:bCs/>
          <w:lang w:val="uk-UA"/>
        </w:rPr>
        <w:t>на закупівлю</w:t>
      </w:r>
      <w:r w:rsidR="00782A87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782A87" w:rsidRPr="00782A87">
        <w:rPr>
          <w:rFonts w:ascii="Times New Roman" w:hAnsi="Times New Roman" w:cs="Times New Roman"/>
          <w:b/>
          <w:bCs/>
          <w:spacing w:val="-3"/>
          <w:sz w:val="28"/>
          <w:szCs w:val="28"/>
          <w:lang w:val="uk-UA" w:eastAsia="zh-CN"/>
        </w:rPr>
        <w:t>«</w:t>
      </w:r>
      <w:r w:rsidR="00782A87" w:rsidRPr="00782A87">
        <w:rPr>
          <w:rFonts w:ascii="Times New Roman" w:hAnsi="Times New Roman" w:cs="Times New Roman"/>
          <w:b/>
          <w:bCs/>
          <w:spacing w:val="-3"/>
          <w:lang w:val="uk-UA" w:eastAsia="zh-CN"/>
        </w:rPr>
        <w:t xml:space="preserve">Встановлення системи пожежної сигналізації, системи передавання тривожних сповіщень та системи керування </w:t>
      </w:r>
      <w:proofErr w:type="spellStart"/>
      <w:r w:rsidR="00782A87" w:rsidRPr="00782A87">
        <w:rPr>
          <w:rFonts w:ascii="Times New Roman" w:hAnsi="Times New Roman" w:cs="Times New Roman"/>
          <w:b/>
          <w:bCs/>
          <w:spacing w:val="-3"/>
          <w:lang w:val="uk-UA" w:eastAsia="zh-CN"/>
        </w:rPr>
        <w:t>евакуюванням</w:t>
      </w:r>
      <w:proofErr w:type="spellEnd"/>
      <w:r w:rsidR="00782A87" w:rsidRPr="00782A87">
        <w:rPr>
          <w:rFonts w:ascii="Times New Roman" w:hAnsi="Times New Roman" w:cs="Times New Roman"/>
          <w:b/>
          <w:bCs/>
          <w:spacing w:val="-3"/>
          <w:lang w:val="uk-UA" w:eastAsia="zh-CN"/>
        </w:rPr>
        <w:t xml:space="preserve"> людей на об’єкті: Приміщення Дитячо-юнацької спортивної школи Житомирської міської ради: Житомирська область, м. Житомир, вул. </w:t>
      </w:r>
      <w:proofErr w:type="spellStart"/>
      <w:r w:rsidR="00782A87" w:rsidRPr="00782A87">
        <w:rPr>
          <w:rFonts w:ascii="Times New Roman" w:hAnsi="Times New Roman" w:cs="Times New Roman"/>
          <w:b/>
          <w:bCs/>
          <w:spacing w:val="-3"/>
          <w:lang w:eastAsia="zh-CN"/>
        </w:rPr>
        <w:t>Хлібна</w:t>
      </w:r>
      <w:proofErr w:type="spellEnd"/>
      <w:r w:rsidR="00782A87" w:rsidRPr="00782A87">
        <w:rPr>
          <w:rFonts w:ascii="Times New Roman" w:hAnsi="Times New Roman" w:cs="Times New Roman"/>
          <w:b/>
          <w:bCs/>
          <w:spacing w:val="-3"/>
          <w:lang w:eastAsia="zh-CN"/>
        </w:rPr>
        <w:t xml:space="preserve">, 24  </w:t>
      </w:r>
      <w:r w:rsidR="00782A87" w:rsidRPr="00782A87">
        <w:rPr>
          <w:rFonts w:ascii="Times New Roman" w:hAnsi="Times New Roman" w:cs="Times New Roman"/>
          <w:b/>
        </w:rPr>
        <w:t>за кодом ДК 021:2015 «</w:t>
      </w:r>
      <w:proofErr w:type="spellStart"/>
      <w:r w:rsidR="00782A87" w:rsidRPr="00782A87">
        <w:rPr>
          <w:rFonts w:ascii="Times New Roman" w:hAnsi="Times New Roman" w:cs="Times New Roman"/>
          <w:b/>
        </w:rPr>
        <w:t>Єдиний</w:t>
      </w:r>
      <w:proofErr w:type="spellEnd"/>
      <w:r w:rsidR="00782A87" w:rsidRPr="00782A87">
        <w:rPr>
          <w:rFonts w:ascii="Times New Roman" w:hAnsi="Times New Roman" w:cs="Times New Roman"/>
          <w:b/>
        </w:rPr>
        <w:t xml:space="preserve"> </w:t>
      </w:r>
      <w:proofErr w:type="spellStart"/>
      <w:r w:rsidR="00782A87" w:rsidRPr="00782A87">
        <w:rPr>
          <w:rFonts w:ascii="Times New Roman" w:hAnsi="Times New Roman" w:cs="Times New Roman"/>
          <w:b/>
        </w:rPr>
        <w:t>закупівельний</w:t>
      </w:r>
      <w:proofErr w:type="spellEnd"/>
      <w:r w:rsidR="00782A87" w:rsidRPr="00782A87">
        <w:rPr>
          <w:rFonts w:ascii="Times New Roman" w:hAnsi="Times New Roman" w:cs="Times New Roman"/>
          <w:b/>
        </w:rPr>
        <w:t xml:space="preserve"> словник» – 45310000-3-Електромонтажні </w:t>
      </w:r>
      <w:proofErr w:type="spellStart"/>
      <w:r w:rsidR="00782A87" w:rsidRPr="00782A87">
        <w:rPr>
          <w:rFonts w:ascii="Times New Roman" w:hAnsi="Times New Roman" w:cs="Times New Roman"/>
          <w:b/>
        </w:rPr>
        <w:t>роботи</w:t>
      </w:r>
      <w:proofErr w:type="spellEnd"/>
      <w:r w:rsidR="00782A87" w:rsidRPr="00782A87">
        <w:rPr>
          <w:rFonts w:ascii="Times New Roman" w:hAnsi="Times New Roman" w:cs="Times New Roman"/>
          <w:b/>
        </w:rPr>
        <w:t>»</w:t>
      </w:r>
    </w:p>
    <w:p w:rsidR="00E257C5" w:rsidRPr="00B750C7" w:rsidRDefault="00E257C5" w:rsidP="00E257C5">
      <w:pPr>
        <w:pStyle w:val="2"/>
        <w:tabs>
          <w:tab w:val="left" w:pos="6804"/>
        </w:tabs>
        <w:rPr>
          <w:rFonts w:ascii="Times New Roman" w:eastAsia="SimSun" w:hAnsi="Times New Roman" w:cs="Times New Roman"/>
          <w:b/>
          <w:bCs/>
          <w:color w:val="FF0000"/>
          <w:kern w:val="2"/>
          <w:szCs w:val="24"/>
          <w:lang w:val="uk-UA" w:eastAsia="ar-SA"/>
        </w:rPr>
      </w:pPr>
    </w:p>
    <w:p w:rsidR="00E257C5" w:rsidRPr="00ED077B" w:rsidRDefault="00E257C5" w:rsidP="00E257C5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 xml:space="preserve">Ми, (найменування Учасника), надаємо свою тендерну пропозицію щодо участі у тендерних торгах на закупівлю </w:t>
      </w:r>
      <w:r w:rsidRPr="00ED077B">
        <w:rPr>
          <w:rFonts w:ascii="Times New Roman" w:hAnsi="Times New Roman" w:cs="Times New Roman"/>
          <w:color w:val="000000" w:themeColor="text1"/>
          <w:lang w:val="uk-UA" w:eastAsia="uk-UA"/>
        </w:rPr>
        <w:t>__________________________________________</w:t>
      </w: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>згідно з технічними та іншими вимогами Замовника.</w:t>
      </w:r>
    </w:p>
    <w:p w:rsidR="00E257C5" w:rsidRPr="00ED077B" w:rsidRDefault="00E257C5" w:rsidP="00E257C5">
      <w:pPr>
        <w:suppressAutoHyphens/>
        <w:ind w:right="-143" w:firstLine="567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4"/>
          <w:lang w:val="uk-UA" w:eastAsia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 вартість тендерної пропозиції (з ПДВ</w:t>
      </w: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>¹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):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цифрами </w:t>
      </w: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>²</w:t>
      </w: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___________________________________________, у тому числі ПДВ¹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left="284" w:right="-262" w:hanging="284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>словами  ___________________________________________, у тому числі ПДВ¹.</w:t>
      </w:r>
    </w:p>
    <w:p w:rsidR="00E257C5" w:rsidRPr="00ED077B" w:rsidRDefault="00E257C5" w:rsidP="00E257C5">
      <w:pPr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jc w:val="both"/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</w:pPr>
    </w:p>
    <w:p w:rsidR="00E257C5" w:rsidRPr="00ED077B" w:rsidRDefault="00E257C5" w:rsidP="00E257C5">
      <w:pPr>
        <w:tabs>
          <w:tab w:val="left" w:pos="284"/>
          <w:tab w:val="right" w:leader="underscore" w:pos="9923"/>
        </w:tabs>
        <w:suppressAutoHyphens/>
        <w:ind w:left="-15" w:right="15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b/>
          <w:bCs/>
          <w:i/>
          <w:iCs/>
          <w:color w:val="000000" w:themeColor="text1"/>
          <w:lang w:val="uk-UA" w:eastAsia="ar-SA"/>
        </w:rPr>
        <w:t>Примітка:</w:t>
      </w:r>
    </w:p>
    <w:p w:rsidR="00E257C5" w:rsidRPr="00ED077B" w:rsidRDefault="00E257C5" w:rsidP="00E257C5">
      <w:pPr>
        <w:tabs>
          <w:tab w:val="left" w:pos="284"/>
          <w:tab w:val="right" w:leader="underscore" w:pos="9923"/>
        </w:tabs>
        <w:suppressAutoHyphens/>
        <w:ind w:left="-15" w:right="15"/>
        <w:jc w:val="both"/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color w:val="000000" w:themeColor="text1"/>
          <w:lang w:val="uk-UA" w:eastAsia="ar-SA"/>
        </w:rPr>
        <w:t xml:space="preserve">¹ </w:t>
      </w:r>
      <w:r w:rsidRPr="00ED077B"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E257C5" w:rsidRPr="00ED077B" w:rsidRDefault="00E257C5" w:rsidP="00E257C5">
      <w:pPr>
        <w:suppressAutoHyphens/>
        <w:ind w:right="30"/>
        <w:jc w:val="both"/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</w:pPr>
      <w:r w:rsidRPr="00ED077B">
        <w:rPr>
          <w:rFonts w:ascii="Times New Roman" w:hAnsi="Times New Roman" w:cs="Times New Roman"/>
          <w:iCs/>
          <w:color w:val="000000" w:themeColor="text1"/>
          <w:spacing w:val="-3"/>
          <w:lang w:val="uk-UA" w:eastAsia="ar-SA"/>
        </w:rPr>
        <w:t xml:space="preserve">² </w:t>
      </w:r>
      <w:r w:rsidRPr="00ED077B">
        <w:rPr>
          <w:rFonts w:ascii="Times New Roman" w:hAnsi="Times New Roman" w:cs="Times New Roman"/>
          <w:i/>
          <w:iCs/>
          <w:color w:val="000000" w:themeColor="text1"/>
          <w:lang w:val="uk-UA" w:eastAsia="ar-SA"/>
        </w:rPr>
        <w:t xml:space="preserve">ціни надаються в гривнях з двома знаками після коми (копійки). </w:t>
      </w:r>
    </w:p>
    <w:p w:rsidR="00E257C5" w:rsidRPr="00ED077B" w:rsidRDefault="00E257C5" w:rsidP="00E257C5">
      <w:pPr>
        <w:spacing w:line="319" w:lineRule="exact"/>
        <w:ind w:left="298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b/>
          <w:i/>
          <w:color w:val="000000" w:themeColor="text1"/>
          <w:lang w:val="uk-UA"/>
        </w:rPr>
        <w:t>Примітка:</w:t>
      </w:r>
    </w:p>
    <w:p w:rsidR="00E257C5" w:rsidRPr="00ED077B" w:rsidRDefault="00E257C5" w:rsidP="00E257C5">
      <w:pPr>
        <w:ind w:left="298" w:right="435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¹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E257C5" w:rsidRPr="00ED077B" w:rsidRDefault="00E257C5" w:rsidP="00E257C5">
      <w:pPr>
        <w:spacing w:line="321" w:lineRule="exact"/>
        <w:ind w:left="312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²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ціни надаються в гривнях з двома знаками після коми (копійки).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61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Учасник визначає ціну на роботи, які він пропонує виконувати за Договором з урахуванням ПДВ.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Ціни вказуються з урахуванням податків і зборів, що сплачуються або мають бути сплачені.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Обсяги закупівлі робіт можуть бути зменшені залежно від потреб Замовника та реального фінансування видатків.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59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Ми погоджуємося дотримуватися умов цієї пропозиції </w:t>
      </w:r>
      <w:proofErr w:type="spellStart"/>
      <w:r w:rsidRPr="00ED077B">
        <w:rPr>
          <w:rFonts w:ascii="Times New Roman" w:hAnsi="Times New Roman" w:cs="Times New Roman"/>
          <w:color w:val="000000" w:themeColor="text1"/>
          <w:lang w:val="uk-UA"/>
        </w:rPr>
        <w:t>протягом</w:t>
      </w:r>
      <w:proofErr w:type="spellEnd"/>
      <w:r w:rsidRPr="00ED077B">
        <w:rPr>
          <w:rFonts w:ascii="Times New Roman" w:hAnsi="Times New Roman" w:cs="Times New Roman"/>
          <w:bCs/>
          <w:i/>
          <w:iCs/>
          <w:color w:val="000000" w:themeColor="text1"/>
          <w:lang w:val="uk-UA"/>
        </w:rPr>
        <w:t xml:space="preserve">___(прописати) </w:t>
      </w: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календарних днів з дати кінцевого строку подання тендерних пропозицій. 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необмежені у прийнятті будь-якої іншої пропозиції з більш вигідними для Вас умовами.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12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</w:t>
      </w:r>
      <w:r w:rsidRPr="00ED077B"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оприлюднення на </w:t>
      </w:r>
      <w:proofErr w:type="spellStart"/>
      <w:r w:rsidRPr="00ED077B">
        <w:rPr>
          <w:rFonts w:ascii="Times New Roman" w:hAnsi="Times New Roman" w:cs="Times New Roman"/>
          <w:color w:val="000000" w:themeColor="text1"/>
          <w:lang w:val="uk-UA"/>
        </w:rPr>
        <w:t>веб-порталі</w:t>
      </w:r>
      <w:proofErr w:type="spellEnd"/>
      <w:r w:rsidRPr="00ED077B">
        <w:rPr>
          <w:rFonts w:ascii="Times New Roman" w:hAnsi="Times New Roman" w:cs="Times New Roman"/>
          <w:color w:val="000000" w:themeColor="text1"/>
          <w:lang w:val="uk-UA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</w:t>
      </w:r>
    </w:p>
    <w:p w:rsidR="00E257C5" w:rsidRPr="00ED077B" w:rsidRDefault="00E257C5" w:rsidP="00E257C5">
      <w:pPr>
        <w:widowControl w:val="0"/>
        <w:numPr>
          <w:ilvl w:val="1"/>
          <w:numId w:val="1"/>
        </w:numPr>
        <w:tabs>
          <w:tab w:val="left" w:pos="983"/>
        </w:tabs>
        <w:autoSpaceDE w:val="0"/>
        <w:autoSpaceDN w:val="0"/>
        <w:ind w:right="49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E257C5" w:rsidRPr="00ED077B" w:rsidRDefault="00E257C5" w:rsidP="00E257C5">
      <w:pPr>
        <w:spacing w:line="318" w:lineRule="exact"/>
        <w:ind w:left="312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b/>
          <w:i/>
          <w:color w:val="000000" w:themeColor="text1"/>
          <w:lang w:val="uk-UA"/>
        </w:rPr>
        <w:t>Примітка:</w:t>
      </w:r>
    </w:p>
    <w:p w:rsidR="00E257C5" w:rsidRPr="00ED077B" w:rsidRDefault="00E257C5" w:rsidP="00E257C5">
      <w:pPr>
        <w:widowControl w:val="0"/>
        <w:numPr>
          <w:ilvl w:val="0"/>
          <w:numId w:val="2"/>
        </w:numPr>
        <w:tabs>
          <w:tab w:val="left" w:pos="594"/>
        </w:tabs>
        <w:autoSpaceDE w:val="0"/>
        <w:autoSpaceDN w:val="0"/>
        <w:spacing w:line="318" w:lineRule="exac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>Учасники повинні дотримуватись встановленої форми.</w:t>
      </w:r>
    </w:p>
    <w:p w:rsidR="00E257C5" w:rsidRPr="00ED077B" w:rsidRDefault="00E257C5" w:rsidP="00E257C5">
      <w:pPr>
        <w:widowControl w:val="0"/>
        <w:numPr>
          <w:ilvl w:val="0"/>
          <w:numId w:val="2"/>
        </w:numPr>
        <w:tabs>
          <w:tab w:val="left" w:pos="587"/>
        </w:tabs>
        <w:autoSpaceDE w:val="0"/>
        <w:autoSpaceDN w:val="0"/>
        <w:ind w:left="586" w:hanging="274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Внесення </w:t>
      </w:r>
      <w:r w:rsidRPr="00ED077B">
        <w:rPr>
          <w:rFonts w:ascii="Times New Roman" w:hAnsi="Times New Roman" w:cs="Times New Roman"/>
          <w:i/>
          <w:color w:val="000000" w:themeColor="text1"/>
          <w:lang w:val="uk-UA"/>
        </w:rPr>
        <w:t xml:space="preserve">в </w:t>
      </w: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форму «Тендерна пропозиція» будь-яких </w:t>
      </w:r>
      <w:r w:rsidRPr="00ED077B">
        <w:rPr>
          <w:rFonts w:ascii="Times New Roman" w:hAnsi="Times New Roman" w:cs="Times New Roman"/>
          <w:i/>
          <w:color w:val="000000" w:themeColor="text1"/>
          <w:spacing w:val="-3"/>
          <w:lang w:val="uk-UA"/>
        </w:rPr>
        <w:t xml:space="preserve">змін </w:t>
      </w:r>
      <w:r w:rsidRPr="00ED077B">
        <w:rPr>
          <w:rFonts w:ascii="Times New Roman" w:hAnsi="Times New Roman" w:cs="Times New Roman"/>
          <w:i/>
          <w:color w:val="000000" w:themeColor="text1"/>
          <w:spacing w:val="-4"/>
          <w:lang w:val="uk-UA"/>
        </w:rPr>
        <w:t xml:space="preserve">неприпустимо. </w:t>
      </w:r>
    </w:p>
    <w:p w:rsidR="00E257C5" w:rsidRPr="00ED077B" w:rsidRDefault="00E257C5" w:rsidP="00E257C5">
      <w:pPr>
        <w:rPr>
          <w:rFonts w:ascii="Times New Roman" w:hAnsi="Times New Roman" w:cs="Times New Roman"/>
          <w:i/>
          <w:color w:val="000000" w:themeColor="text1"/>
          <w:lang w:val="uk-UA"/>
        </w:rPr>
      </w:pPr>
    </w:p>
    <w:tbl>
      <w:tblPr>
        <w:tblW w:w="0" w:type="auto"/>
        <w:tblInd w:w="112" w:type="dxa"/>
        <w:tblLayout w:type="fixed"/>
        <w:tblLook w:val="01E0"/>
      </w:tblPr>
      <w:tblGrid>
        <w:gridCol w:w="3605"/>
        <w:gridCol w:w="3414"/>
        <w:gridCol w:w="2899"/>
      </w:tblGrid>
      <w:tr w:rsidR="00DA1351" w:rsidRPr="00ED077B" w:rsidTr="00E257C5">
        <w:trPr>
          <w:trHeight w:val="263"/>
        </w:trPr>
        <w:tc>
          <w:tcPr>
            <w:tcW w:w="3605" w:type="dxa"/>
            <w:hideMark/>
          </w:tcPr>
          <w:p w:rsidR="00E257C5" w:rsidRPr="00ED077B" w:rsidRDefault="00E257C5">
            <w:pPr>
              <w:spacing w:line="301" w:lineRule="exact"/>
              <w:ind w:left="20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>Уповноважена особа</w:t>
            </w:r>
          </w:p>
        </w:tc>
        <w:tc>
          <w:tcPr>
            <w:tcW w:w="3414" w:type="dxa"/>
            <w:hideMark/>
          </w:tcPr>
          <w:p w:rsidR="00E257C5" w:rsidRPr="00ED077B" w:rsidRDefault="00E257C5">
            <w:pPr>
              <w:tabs>
                <w:tab w:val="left" w:pos="2682"/>
              </w:tabs>
              <w:spacing w:line="301" w:lineRule="exact"/>
              <w:ind w:left="56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ab/>
            </w:r>
          </w:p>
        </w:tc>
        <w:tc>
          <w:tcPr>
            <w:tcW w:w="2899" w:type="dxa"/>
            <w:hideMark/>
          </w:tcPr>
          <w:p w:rsidR="00E257C5" w:rsidRPr="00ED077B" w:rsidRDefault="00E257C5">
            <w:pPr>
              <w:tabs>
                <w:tab w:val="left" w:pos="3105"/>
              </w:tabs>
              <w:spacing w:line="301" w:lineRule="exact"/>
              <w:ind w:right="-41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u w:val="single"/>
                <w:lang w:val="uk-UA"/>
              </w:rPr>
              <w:tab/>
            </w:r>
          </w:p>
        </w:tc>
      </w:tr>
      <w:tr w:rsidR="00DA1351" w:rsidRPr="00ED077B" w:rsidTr="00E257C5">
        <w:trPr>
          <w:trHeight w:val="527"/>
        </w:trPr>
        <w:tc>
          <w:tcPr>
            <w:tcW w:w="3605" w:type="dxa"/>
            <w:hideMark/>
          </w:tcPr>
          <w:p w:rsidR="00E257C5" w:rsidRPr="00ED077B" w:rsidRDefault="00E257C5">
            <w:pPr>
              <w:spacing w:line="321" w:lineRule="exact"/>
              <w:ind w:left="1249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(Посада)</w:t>
            </w:r>
          </w:p>
        </w:tc>
        <w:tc>
          <w:tcPr>
            <w:tcW w:w="3414" w:type="dxa"/>
            <w:hideMark/>
          </w:tcPr>
          <w:p w:rsidR="00E257C5" w:rsidRPr="00ED077B" w:rsidRDefault="00E257C5">
            <w:pPr>
              <w:spacing w:line="321" w:lineRule="exact"/>
              <w:ind w:left="105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(підпис)</w:t>
            </w:r>
          </w:p>
        </w:tc>
        <w:tc>
          <w:tcPr>
            <w:tcW w:w="2899" w:type="dxa"/>
            <w:hideMark/>
          </w:tcPr>
          <w:p w:rsidR="00E257C5" w:rsidRPr="00ED077B" w:rsidRDefault="00E257C5">
            <w:pPr>
              <w:spacing w:line="322" w:lineRule="exact"/>
              <w:ind w:right="18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077B">
              <w:rPr>
                <w:rFonts w:ascii="Times New Roman" w:hAnsi="Times New Roman" w:cs="Times New Roman"/>
                <w:color w:val="000000" w:themeColor="text1"/>
                <w:lang w:val="uk-UA"/>
              </w:rPr>
              <w:t>(ініціали та прізвище)</w:t>
            </w:r>
          </w:p>
        </w:tc>
      </w:tr>
    </w:tbl>
    <w:p w:rsidR="00E257C5" w:rsidRPr="00ED077B" w:rsidRDefault="00E257C5" w:rsidP="00E257C5">
      <w:pPr>
        <w:rPr>
          <w:rFonts w:ascii="Times New Roman" w:hAnsi="Times New Roman" w:cs="Times New Roman"/>
          <w:i/>
          <w:color w:val="000000" w:themeColor="text1"/>
          <w:lang w:val="uk-UA"/>
        </w:rPr>
      </w:pPr>
    </w:p>
    <w:p w:rsidR="00E257C5" w:rsidRPr="00ED077B" w:rsidRDefault="00E257C5" w:rsidP="00E257C5">
      <w:pPr>
        <w:ind w:left="312" w:right="409" w:firstLine="708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E257C5" w:rsidRPr="00ED077B" w:rsidRDefault="00E257C5" w:rsidP="00E257C5">
      <w:pPr>
        <w:rPr>
          <w:rFonts w:ascii="Times New Roman" w:hAnsi="Times New Roman" w:cs="Times New Roman"/>
          <w:color w:val="000000" w:themeColor="text1"/>
          <w:lang w:val="uk-UA"/>
        </w:rPr>
      </w:pPr>
    </w:p>
    <w:p w:rsidR="00E257C5" w:rsidRPr="00ED077B" w:rsidRDefault="00E257C5" w:rsidP="00E257C5">
      <w:pPr>
        <w:ind w:left="284"/>
        <w:rPr>
          <w:rFonts w:ascii="Times New Roman" w:hAnsi="Times New Roman" w:cs="Times New Roman"/>
          <w:color w:val="000000" w:themeColor="text1"/>
          <w:lang w:val="uk-UA"/>
        </w:rPr>
      </w:pPr>
      <w:r w:rsidRPr="00ED077B">
        <w:rPr>
          <w:rFonts w:ascii="Times New Roman" w:hAnsi="Times New Roman" w:cs="Times New Roman"/>
          <w:color w:val="000000" w:themeColor="text1"/>
          <w:lang w:val="uk-UA"/>
        </w:rPr>
        <w:t>*Тендерна пропозиція подається у сканованому вигляді за підписом уповноваженої посадової особи Учасника та засвідчується нею із застосуванням кваліфікаційного електронного підпису</w:t>
      </w:r>
    </w:p>
    <w:p w:rsidR="00E257C5" w:rsidRPr="00ED077B" w:rsidRDefault="00E257C5" w:rsidP="00E257C5">
      <w:pPr>
        <w:ind w:left="284"/>
        <w:rPr>
          <w:rFonts w:ascii="Times New Roman" w:hAnsi="Times New Roman" w:cs="Times New Roman"/>
          <w:color w:val="000000" w:themeColor="text1"/>
          <w:lang w:val="uk-UA"/>
        </w:rPr>
      </w:pPr>
    </w:p>
    <w:p w:rsidR="009C1F1B" w:rsidRPr="00ED077B" w:rsidRDefault="009C1F1B">
      <w:pPr>
        <w:rPr>
          <w:color w:val="000000" w:themeColor="text1"/>
          <w:lang w:val="uk-UA"/>
        </w:rPr>
      </w:pPr>
    </w:p>
    <w:sectPr w:rsidR="009C1F1B" w:rsidRPr="00ED077B" w:rsidSect="00DC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853"/>
    <w:multiLevelType w:val="hybridMultilevel"/>
    <w:tmpl w:val="FF506E8C"/>
    <w:lvl w:ilvl="0" w:tplc="79869D28">
      <w:start w:val="1"/>
      <w:numFmt w:val="decimal"/>
      <w:lvlText w:val="%1."/>
      <w:lvlJc w:val="left"/>
      <w:pPr>
        <w:ind w:left="593" w:hanging="281"/>
      </w:pPr>
      <w:rPr>
        <w:rFonts w:ascii="Times New Roman" w:eastAsia="Arial" w:hAnsi="Times New Roman" w:cs="Times New Roman" w:hint="default"/>
        <w:i/>
        <w:w w:val="100"/>
        <w:sz w:val="24"/>
        <w:szCs w:val="24"/>
      </w:rPr>
    </w:lvl>
    <w:lvl w:ilvl="1" w:tplc="E676FF5A">
      <w:start w:val="1"/>
      <w:numFmt w:val="decimal"/>
      <w:lvlText w:val="%2."/>
      <w:lvlJc w:val="left"/>
      <w:pPr>
        <w:ind w:left="4453" w:hanging="183"/>
      </w:pPr>
      <w:rPr>
        <w:rFonts w:ascii="Arial" w:eastAsia="Arial" w:hAnsi="Arial" w:cs="Arial" w:hint="default"/>
        <w:b/>
        <w:bCs/>
        <w:spacing w:val="0"/>
        <w:w w:val="100"/>
        <w:sz w:val="18"/>
        <w:szCs w:val="18"/>
      </w:rPr>
    </w:lvl>
    <w:lvl w:ilvl="2" w:tplc="D54C6E28">
      <w:numFmt w:val="bullet"/>
      <w:lvlText w:val="•"/>
      <w:lvlJc w:val="left"/>
      <w:pPr>
        <w:ind w:left="5162" w:hanging="183"/>
      </w:pPr>
    </w:lvl>
    <w:lvl w:ilvl="3" w:tplc="65E697F2">
      <w:numFmt w:val="bullet"/>
      <w:lvlText w:val="•"/>
      <w:lvlJc w:val="left"/>
      <w:pPr>
        <w:ind w:left="5865" w:hanging="183"/>
      </w:pPr>
    </w:lvl>
    <w:lvl w:ilvl="4" w:tplc="A574EF3E">
      <w:numFmt w:val="bullet"/>
      <w:lvlText w:val="•"/>
      <w:lvlJc w:val="left"/>
      <w:pPr>
        <w:ind w:left="6568" w:hanging="183"/>
      </w:pPr>
    </w:lvl>
    <w:lvl w:ilvl="5" w:tplc="BAD65BF6">
      <w:numFmt w:val="bullet"/>
      <w:lvlText w:val="•"/>
      <w:lvlJc w:val="left"/>
      <w:pPr>
        <w:ind w:left="7271" w:hanging="183"/>
      </w:pPr>
    </w:lvl>
    <w:lvl w:ilvl="6" w:tplc="7D8CC8E8">
      <w:numFmt w:val="bullet"/>
      <w:lvlText w:val="•"/>
      <w:lvlJc w:val="left"/>
      <w:pPr>
        <w:ind w:left="7974" w:hanging="183"/>
      </w:pPr>
    </w:lvl>
    <w:lvl w:ilvl="7" w:tplc="F1446D32">
      <w:numFmt w:val="bullet"/>
      <w:lvlText w:val="•"/>
      <w:lvlJc w:val="left"/>
      <w:pPr>
        <w:ind w:left="8677" w:hanging="183"/>
      </w:pPr>
    </w:lvl>
    <w:lvl w:ilvl="8" w:tplc="B74EE4CE">
      <w:numFmt w:val="bullet"/>
      <w:lvlText w:val="•"/>
      <w:lvlJc w:val="left"/>
      <w:pPr>
        <w:ind w:left="9380" w:hanging="183"/>
      </w:pPr>
    </w:lvl>
  </w:abstractNum>
  <w:abstractNum w:abstractNumId="1">
    <w:nsid w:val="76E8612E"/>
    <w:multiLevelType w:val="hybridMultilevel"/>
    <w:tmpl w:val="CDFE1192"/>
    <w:lvl w:ilvl="0" w:tplc="1AF8DB8E">
      <w:start w:val="1"/>
      <w:numFmt w:val="decimal"/>
      <w:lvlText w:val="%1."/>
      <w:lvlJc w:val="left"/>
      <w:pPr>
        <w:ind w:left="1021" w:hanging="709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714275CC">
      <w:start w:val="1"/>
      <w:numFmt w:val="decimal"/>
      <w:lvlText w:val="%2."/>
      <w:lvlJc w:val="left"/>
      <w:pPr>
        <w:ind w:left="312" w:hanging="290"/>
      </w:pPr>
      <w:rPr>
        <w:rFonts w:ascii="Arial" w:eastAsia="Arial" w:hAnsi="Arial" w:cs="Arial"/>
        <w:b w:val="0"/>
        <w:w w:val="100"/>
        <w:sz w:val="22"/>
        <w:szCs w:val="22"/>
      </w:rPr>
    </w:lvl>
    <w:lvl w:ilvl="2" w:tplc="BE681876">
      <w:numFmt w:val="bullet"/>
      <w:lvlText w:val="•"/>
      <w:lvlJc w:val="left"/>
      <w:pPr>
        <w:ind w:left="2105" w:hanging="290"/>
      </w:pPr>
    </w:lvl>
    <w:lvl w:ilvl="3" w:tplc="E95631AA">
      <w:numFmt w:val="bullet"/>
      <w:lvlText w:val="•"/>
      <w:lvlJc w:val="left"/>
      <w:pPr>
        <w:ind w:left="3190" w:hanging="290"/>
      </w:pPr>
    </w:lvl>
    <w:lvl w:ilvl="4" w:tplc="9310385E">
      <w:numFmt w:val="bullet"/>
      <w:lvlText w:val="•"/>
      <w:lvlJc w:val="left"/>
      <w:pPr>
        <w:ind w:left="4275" w:hanging="290"/>
      </w:pPr>
    </w:lvl>
    <w:lvl w:ilvl="5" w:tplc="D4B49DF6">
      <w:numFmt w:val="bullet"/>
      <w:lvlText w:val="•"/>
      <w:lvlJc w:val="left"/>
      <w:pPr>
        <w:ind w:left="5360" w:hanging="290"/>
      </w:pPr>
    </w:lvl>
    <w:lvl w:ilvl="6" w:tplc="5D46D5F6">
      <w:numFmt w:val="bullet"/>
      <w:lvlText w:val="•"/>
      <w:lvlJc w:val="left"/>
      <w:pPr>
        <w:ind w:left="6445" w:hanging="290"/>
      </w:pPr>
    </w:lvl>
    <w:lvl w:ilvl="7" w:tplc="E53A76C0">
      <w:numFmt w:val="bullet"/>
      <w:lvlText w:val="•"/>
      <w:lvlJc w:val="left"/>
      <w:pPr>
        <w:ind w:left="7530" w:hanging="290"/>
      </w:pPr>
    </w:lvl>
    <w:lvl w:ilvl="8" w:tplc="225C730C">
      <w:numFmt w:val="bullet"/>
      <w:lvlText w:val="•"/>
      <w:lvlJc w:val="left"/>
      <w:pPr>
        <w:ind w:left="8616" w:hanging="29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C5"/>
    <w:rsid w:val="002618AF"/>
    <w:rsid w:val="003B000A"/>
    <w:rsid w:val="005E5014"/>
    <w:rsid w:val="00630012"/>
    <w:rsid w:val="006E1780"/>
    <w:rsid w:val="00772FDE"/>
    <w:rsid w:val="00782A87"/>
    <w:rsid w:val="0083329B"/>
    <w:rsid w:val="008F5588"/>
    <w:rsid w:val="009C1F1B"/>
    <w:rsid w:val="00B750C7"/>
    <w:rsid w:val="00B97B20"/>
    <w:rsid w:val="00C37357"/>
    <w:rsid w:val="00CA5C46"/>
    <w:rsid w:val="00D71511"/>
    <w:rsid w:val="00D72E42"/>
    <w:rsid w:val="00DA1351"/>
    <w:rsid w:val="00DC6CC3"/>
    <w:rsid w:val="00E257C5"/>
    <w:rsid w:val="00ED077B"/>
    <w:rsid w:val="00F84516"/>
    <w:rsid w:val="00FC5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5"/>
    <w:pPr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вичайний (веб)2"/>
    <w:basedOn w:val="a"/>
    <w:rsid w:val="00E257C5"/>
    <w:pPr>
      <w:overflowPunct w:val="0"/>
      <w:autoSpaceDE w:val="0"/>
      <w:autoSpaceDN w:val="0"/>
      <w:adjustRightInd w:val="0"/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5"/>
    <w:pPr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вичайний (веб)2"/>
    <w:basedOn w:val="a"/>
    <w:rsid w:val="00E257C5"/>
    <w:pPr>
      <w:overflowPunct w:val="0"/>
      <w:autoSpaceDE w:val="0"/>
      <w:autoSpaceDN w:val="0"/>
      <w:adjustRightInd w:val="0"/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2024-04-18T09:22:00Z</dcterms:created>
  <dcterms:modified xsi:type="dcterms:W3CDTF">2024-04-18T09:22:00Z</dcterms:modified>
</cp:coreProperties>
</file>