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13945" w:rsidP="005E5DF4">
            <w:pPr>
              <w:jc w:val="both"/>
            </w:pPr>
            <w:r>
              <w:t>10</w:t>
            </w:r>
            <w:r w:rsidR="00A90DF5">
              <w:t>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5E5DF4" w:rsidP="00480F08">
            <w:pPr>
              <w:jc w:val="both"/>
            </w:pPr>
            <w:r>
              <w:rPr>
                <w:lang w:val="en-US"/>
              </w:rPr>
              <w:t>22</w:t>
            </w:r>
            <w:r w:rsidR="003217DD">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 xml:space="preserve">робіт </w:t>
      </w:r>
      <w:r w:rsidR="00480F08">
        <w:rPr>
          <w:b/>
          <w:i/>
          <w:iCs/>
          <w:sz w:val="28"/>
          <w:szCs w:val="28"/>
        </w:rPr>
        <w:t xml:space="preserve">з </w:t>
      </w:r>
      <w:r w:rsidR="00A13945" w:rsidRPr="00A13945">
        <w:rPr>
          <w:b/>
          <w:i/>
          <w:iCs/>
          <w:sz w:val="28"/>
          <w:szCs w:val="28"/>
        </w:rPr>
        <w:t xml:space="preserve">технічного переоснащення </w:t>
      </w:r>
      <w:r w:rsidR="005E5DF4" w:rsidRPr="005E5DF4">
        <w:rPr>
          <w:b/>
          <w:i/>
          <w:iCs/>
          <w:sz w:val="28"/>
          <w:szCs w:val="28"/>
        </w:rPr>
        <w:t>ТП із заміною шаф та силових трансформаторів 6-10/0,4 кВ</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5E5DF4" w:rsidRDefault="0010732E" w:rsidP="00D427E5">
            <w:pPr>
              <w:pStyle w:val="31"/>
              <w:tabs>
                <w:tab w:val="clear" w:pos="426"/>
              </w:tabs>
              <w:rPr>
                <w:b w:val="0"/>
              </w:rPr>
            </w:pPr>
            <w:r>
              <w:t>Т</w:t>
            </w:r>
            <w:r w:rsidR="005E5DF4">
              <w:t>ехнічн</w:t>
            </w:r>
            <w:r>
              <w:t>е</w:t>
            </w:r>
            <w:r w:rsidR="005E5DF4">
              <w:t xml:space="preserve"> переоснащення</w:t>
            </w:r>
            <w:r w:rsidR="005E5DF4" w:rsidRPr="00893758">
              <w:t xml:space="preserve"> ТП із заміною шаф та силових трансформаторів 6-10/0,4 кВ</w:t>
            </w:r>
            <w:r w:rsidR="005E5DF4">
              <w:rPr>
                <w:b w:val="0"/>
              </w:rPr>
              <w:t xml:space="preserve"> </w:t>
            </w:r>
          </w:p>
          <w:p w:rsidR="00D427E5" w:rsidRPr="00BF2F35" w:rsidRDefault="00480F08" w:rsidP="00D427E5">
            <w:pPr>
              <w:pStyle w:val="31"/>
              <w:tabs>
                <w:tab w:val="clear" w:pos="426"/>
              </w:tabs>
              <w:rPr>
                <w:b w:val="0"/>
              </w:rPr>
            </w:pPr>
            <w:r>
              <w:rPr>
                <w:b w:val="0"/>
              </w:rPr>
              <w:t>(</w:t>
            </w:r>
            <w:r w:rsidR="00D427E5"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DF4D58" w:rsidP="00736527">
            <w:pPr>
              <w:pStyle w:val="a5"/>
              <w:tabs>
                <w:tab w:val="clear" w:pos="4677"/>
                <w:tab w:val="clear" w:pos="9355"/>
                <w:tab w:val="left" w:pos="1260"/>
                <w:tab w:val="left" w:pos="1980"/>
              </w:tabs>
              <w:jc w:val="both"/>
              <w:rPr>
                <w:iCs/>
              </w:rPr>
            </w:pPr>
            <w:r>
              <w:rPr>
                <w:iCs/>
              </w:rPr>
              <w:t>32</w:t>
            </w:r>
            <w:r w:rsidR="00480F08">
              <w:rPr>
                <w:iCs/>
              </w:rPr>
              <w:t>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480F08">
            <w:pPr>
              <w:pStyle w:val="a5"/>
              <w:tabs>
                <w:tab w:val="clear" w:pos="4677"/>
                <w:tab w:val="clear" w:pos="9355"/>
                <w:tab w:val="left" w:pos="1260"/>
                <w:tab w:val="left" w:pos="1980"/>
              </w:tabs>
              <w:jc w:val="both"/>
            </w:pPr>
            <w:r w:rsidRPr="00376823">
              <w:rPr>
                <w:bCs/>
              </w:rPr>
              <w:t xml:space="preserve">до </w:t>
            </w:r>
            <w:r w:rsidR="00165B65">
              <w:rPr>
                <w:bCs/>
              </w:rPr>
              <w:t>3</w:t>
            </w:r>
            <w:r w:rsidR="00480F08">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Pr="00E31462" w:rsidRDefault="00DF31A2" w:rsidP="00DF4D58">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r w:rsidR="00DF4D58">
              <w:rPr>
                <w:rFonts w:ascii="Times New Roman" w:hAnsi="Times New Roman"/>
                <w:sz w:val="24"/>
              </w:rPr>
              <w:t>п.1.3.2.1.1</w:t>
            </w:r>
            <w:r w:rsidR="00DA64A7">
              <w:rPr>
                <w:rFonts w:ascii="Times New Roman" w:hAnsi="Times New Roman"/>
                <w:sz w:val="24"/>
              </w:rPr>
              <w:t xml:space="preserve">- Технічне переоснащення ЬП із заміною шафи та силового трансформатора на </w:t>
            </w:r>
            <w:r w:rsidR="00DF4D58">
              <w:rPr>
                <w:rFonts w:ascii="Times New Roman" w:hAnsi="Times New Roman"/>
                <w:sz w:val="24"/>
              </w:rPr>
              <w:t>10</w:t>
            </w:r>
            <w:r w:rsidR="00DA64A7" w:rsidRPr="00DA64A7">
              <w:rPr>
                <w:rFonts w:ascii="Times New Roman" w:hAnsi="Times New Roman"/>
                <w:sz w:val="24"/>
              </w:rPr>
              <w:t>0/10(6)/0,4-У1, У/Zn-11</w:t>
            </w:r>
            <w:r w:rsidR="00DA64A7">
              <w:rPr>
                <w:rFonts w:ascii="Times New Roman" w:hAnsi="Times New Roman"/>
                <w:sz w:val="24"/>
              </w:rPr>
              <w:t>– 3</w:t>
            </w:r>
            <w:r w:rsidR="00DF4D58">
              <w:rPr>
                <w:rFonts w:ascii="Times New Roman" w:hAnsi="Times New Roman"/>
                <w:sz w:val="24"/>
              </w:rPr>
              <w:t>2</w:t>
            </w:r>
            <w:r w:rsidR="00DA64A7">
              <w:rPr>
                <w:rFonts w:ascii="Times New Roman" w:hAnsi="Times New Roman"/>
                <w:sz w:val="24"/>
              </w:rPr>
              <w:t>0,</w:t>
            </w:r>
            <w:r w:rsidR="00DF4D58">
              <w:rPr>
                <w:rFonts w:ascii="Times New Roman" w:hAnsi="Times New Roman"/>
                <w:sz w:val="24"/>
              </w:rPr>
              <w:t xml:space="preserve">38тис.грн. з ПДВ/шт., п.1.3.2.1.3-    </w:t>
            </w:r>
            <w:r w:rsidR="00DF4D58">
              <w:rPr>
                <w:rFonts w:ascii="Times New Roman" w:hAnsi="Times New Roman"/>
                <w:sz w:val="24"/>
              </w:rPr>
              <w:t xml:space="preserve">Технічне переоснащення ЬП із заміною шафи та силового трансформатора на </w:t>
            </w:r>
            <w:r w:rsidR="00DF4D58">
              <w:rPr>
                <w:rFonts w:ascii="Times New Roman" w:hAnsi="Times New Roman"/>
                <w:sz w:val="24"/>
              </w:rPr>
              <w:t>25</w:t>
            </w:r>
            <w:r w:rsidR="00DF4D58" w:rsidRPr="00DA64A7">
              <w:rPr>
                <w:rFonts w:ascii="Times New Roman" w:hAnsi="Times New Roman"/>
                <w:sz w:val="24"/>
              </w:rPr>
              <w:t>0/10(6)/0,4-У1, У/Zn-11</w:t>
            </w:r>
            <w:r w:rsidR="00DF4D58">
              <w:rPr>
                <w:rFonts w:ascii="Times New Roman" w:hAnsi="Times New Roman"/>
                <w:sz w:val="24"/>
              </w:rPr>
              <w:t xml:space="preserve">– </w:t>
            </w:r>
            <w:r w:rsidR="00DF4D58">
              <w:rPr>
                <w:rFonts w:ascii="Times New Roman" w:hAnsi="Times New Roman"/>
                <w:sz w:val="24"/>
              </w:rPr>
              <w:t>490,15 тис</w:t>
            </w:r>
            <w:r w:rsidR="00DF4D58">
              <w:rPr>
                <w:rFonts w:ascii="Times New Roman" w:hAnsi="Times New Roman"/>
                <w:sz w:val="24"/>
              </w:rPr>
              <w:t>.грн. з ПДВ/шт.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w:t>
            </w:r>
            <w:r w:rsidRPr="00376823">
              <w:lastRenderedPageBreak/>
              <w:t>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 xml:space="preserve">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w:t>
            </w:r>
            <w:r w:rsidRPr="00376823">
              <w:rPr>
                <w:rFonts w:ascii="Times New Roman" w:hAnsi="Times New Roman"/>
                <w:sz w:val="24"/>
                <w:shd w:val="clear" w:color="auto" w:fill="FFFFFF"/>
              </w:rPr>
              <w:lastRenderedPageBreak/>
              <w:t>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lastRenderedPageBreak/>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w:t>
            </w:r>
            <w:r w:rsidRPr="00376823">
              <w:rPr>
                <w:rFonts w:ascii="Times New Roman" w:hAnsi="Times New Roman"/>
                <w:sz w:val="24"/>
              </w:rPr>
              <w:lastRenderedPageBreak/>
              <w:t>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w:t>
            </w:r>
            <w:r w:rsidRPr="00376823">
              <w:rPr>
                <w:lang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w:t>
            </w:r>
            <w:r w:rsidRPr="00376823">
              <w:lastRenderedPageBreak/>
              <w:t>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w:t>
            </w:r>
            <w:r>
              <w:rPr>
                <w:color w:val="000000"/>
                <w:shd w:val="clear" w:color="auto" w:fill="FFFFFF"/>
              </w:rPr>
              <w:lastRenderedPageBreak/>
              <w:t xml:space="preserve">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1219B2">
              <w:rPr>
                <w:lang w:val="uk-UA"/>
              </w:rPr>
              <w:t>/технічного переоснащенн</w:t>
            </w:r>
            <w:r w:rsidR="00472901">
              <w:rPr>
                <w:lang w:val="uk-UA"/>
              </w:rPr>
              <w:t>я ТП із заміною шафи та силового трансформатора.</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lastRenderedPageBreak/>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 xml:space="preserve">У випадку, якщо учасником процедури закупівлі із законодавчих причин не складається фінансова звітність, то він надає лист-роз’яснення в </w:t>
            </w:r>
            <w:r w:rsidRPr="00376823">
              <w:rPr>
                <w:rFonts w:ascii="Times New Roman" w:hAnsi="Times New Roman"/>
                <w:sz w:val="24"/>
                <w:lang w:eastAsia="uk-UA"/>
              </w:rPr>
              <w:lastRenderedPageBreak/>
              <w:t>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w:t>
            </w:r>
            <w:r w:rsidRPr="00376823">
              <w:lastRenderedPageBreak/>
              <w:t>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376823">
              <w:rPr>
                <w:rFonts w:ascii="Times New Roman" w:hAnsi="Times New Roman"/>
                <w:sz w:val="24"/>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lastRenderedPageBreak/>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w:t>
            </w:r>
            <w:r w:rsidRPr="00376823">
              <w:rPr>
                <w:rFonts w:ascii="Times New Roman" w:hAnsi="Times New Roman"/>
                <w:sz w:val="24"/>
              </w:rPr>
              <w:lastRenderedPageBreak/>
              <w:t>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w:t>
            </w:r>
            <w:r w:rsidRPr="00376823">
              <w:rPr>
                <w:rFonts w:ascii="Times New Roman" w:hAnsi="Times New Roman"/>
                <w:sz w:val="24"/>
                <w:shd w:val="clear" w:color="auto" w:fill="FFFFFF"/>
              </w:rPr>
              <w:lastRenderedPageBreak/>
              <w:t>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w:t>
            </w:r>
            <w:r w:rsidRPr="00376823">
              <w:lastRenderedPageBreak/>
              <w:t>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472901" w:rsidP="001B7FAA">
            <w:pPr>
              <w:widowControl w:val="0"/>
              <w:ind w:left="40" w:right="120"/>
              <w:jc w:val="both"/>
              <w:rPr>
                <w:b/>
                <w:color w:val="000000" w:themeColor="text1"/>
              </w:rPr>
            </w:pPr>
            <w:r>
              <w:rPr>
                <w:b/>
                <w:color w:val="000000" w:themeColor="text1"/>
              </w:rPr>
              <w:t>14</w:t>
            </w:r>
            <w:r w:rsidR="00DE10ED">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w:t>
            </w:r>
            <w:r w:rsidRPr="005C1FDF">
              <w:rPr>
                <w:color w:val="000000" w:themeColor="text1"/>
              </w:rPr>
              <w:lastRenderedPageBreak/>
              <w:t>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lastRenderedPageBreak/>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 xml:space="preserve">Оцінка тендерних пропозицій здійснюється на основі критерію „Ціна”. </w:t>
            </w:r>
            <w:r w:rsidRPr="005C1FDF">
              <w:rPr>
                <w:color w:val="000000" w:themeColor="text1"/>
              </w:rPr>
              <w:lastRenderedPageBreak/>
              <w:t>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8D1EC4">
            <w:pPr>
              <w:widowControl w:val="0"/>
              <w:numPr>
                <w:ilvl w:val="0"/>
                <w:numId w:val="6"/>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8D1EC4">
            <w:pPr>
              <w:widowControl w:val="0"/>
              <w:numPr>
                <w:ilvl w:val="0"/>
                <w:numId w:val="6"/>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8D1EC4">
            <w:pPr>
              <w:widowControl w:val="0"/>
              <w:numPr>
                <w:ilvl w:val="0"/>
                <w:numId w:val="6"/>
              </w:numPr>
              <w:jc w:val="both"/>
            </w:pPr>
            <w:r>
              <w:lastRenderedPageBreak/>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w:t>
            </w:r>
            <w:r>
              <w:rPr>
                <w:highlight w:val="white"/>
              </w:rPr>
              <w:lastRenderedPageBreak/>
              <w:t>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lastRenderedPageBreak/>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lastRenderedPageBreak/>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 xml:space="preserve">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w:t>
            </w:r>
            <w:r w:rsidRPr="00B53D64">
              <w:rPr>
                <w:noProof/>
              </w:rPr>
              <w:lastRenderedPageBreak/>
              <w:t>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 xml:space="preserve">Договір про закупівлю складається замовником з урахуванням особливостей предмету закупівлі на базі проекту договору про закупівлю </w:t>
            </w:r>
            <w:r w:rsidRPr="00376823">
              <w:lastRenderedPageBreak/>
              <w:t>(Додаток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376823">
              <w:rPr>
                <w:rFonts w:ascii="Times New Roman" w:hAnsi="Times New Roman"/>
                <w:sz w:val="24"/>
                <w:lang w:eastAsia="uk-UA"/>
              </w:rPr>
              <w:lastRenderedPageBreak/>
              <w:t>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480F08" w:rsidRPr="00A07839" w:rsidTr="00A13945">
        <w:trPr>
          <w:cantSplit/>
        </w:trPr>
        <w:tc>
          <w:tcPr>
            <w:tcW w:w="5440" w:type="dxa"/>
            <w:shd w:val="clear" w:color="auto" w:fill="FFFFFF"/>
          </w:tcPr>
          <w:p w:rsidR="00480F08" w:rsidRPr="00D42BCE" w:rsidRDefault="00480F08" w:rsidP="00A13945">
            <w:pPr>
              <w:pStyle w:val="Normal1"/>
              <w:shd w:val="clear" w:color="auto" w:fill="FFFFFF"/>
              <w:rPr>
                <w:lang w:val="uk-UA"/>
              </w:rPr>
            </w:pPr>
            <w:r w:rsidRPr="00D42BCE">
              <w:rPr>
                <w:lang w:val="uk-UA"/>
              </w:rPr>
              <w:t>м. Івано-Франківськ</w:t>
            </w:r>
          </w:p>
        </w:tc>
        <w:tc>
          <w:tcPr>
            <w:tcW w:w="4567" w:type="dxa"/>
            <w:shd w:val="clear" w:color="auto" w:fill="FFFFFF"/>
          </w:tcPr>
          <w:p w:rsidR="00480F08" w:rsidRPr="00A07839" w:rsidRDefault="00480F08" w:rsidP="00A13945">
            <w:pPr>
              <w:pStyle w:val="Normal1"/>
              <w:shd w:val="clear" w:color="auto" w:fill="FFFFFF"/>
              <w:jc w:val="right"/>
              <w:rPr>
                <w:lang w:val="uk-UA"/>
              </w:rPr>
            </w:pPr>
            <w:r w:rsidRPr="00323035">
              <w:rPr>
                <w:lang w:val="uk-UA"/>
              </w:rPr>
              <w:t>"_____"  __________</w:t>
            </w:r>
            <w:r>
              <w:rPr>
                <w:lang w:val="uk-UA"/>
              </w:rPr>
              <w:t xml:space="preserve">2023 </w:t>
            </w:r>
            <w:r w:rsidRPr="00A07839">
              <w:rPr>
                <w:lang w:val="uk-UA"/>
              </w:rPr>
              <w:t>р.</w:t>
            </w:r>
          </w:p>
        </w:tc>
      </w:tr>
    </w:tbl>
    <w:p w:rsidR="00480F08" w:rsidRPr="00684BE3" w:rsidRDefault="00480F08" w:rsidP="00480F08">
      <w:pPr>
        <w:jc w:val="both"/>
      </w:pPr>
    </w:p>
    <w:p w:rsidR="00736527" w:rsidRDefault="00736527" w:rsidP="00736527">
      <w:pPr>
        <w:jc w:val="both"/>
      </w:pPr>
    </w:p>
    <w:p w:rsidR="00DF4D58" w:rsidRDefault="00DF4D58" w:rsidP="00DF4D58">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w:t>
      </w:r>
      <w:r>
        <w:t xml:space="preserve">в особі Заступника Голови Правління </w:t>
      </w:r>
      <w:r w:rsidRPr="00C930B3">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DF4D58" w:rsidRDefault="00DF4D58" w:rsidP="00DF4D58">
      <w:pPr>
        <w:jc w:val="both"/>
        <w:rPr>
          <w:b/>
        </w:rPr>
      </w:pPr>
      <w:r w:rsidRPr="00A07839">
        <w:t>Г</w:t>
      </w:r>
      <w:r>
        <w:t>ЕНПІДРЯДНИК:</w:t>
      </w:r>
      <w:r w:rsidRPr="0077124B">
        <w:rPr>
          <w:b/>
        </w:rPr>
        <w:t xml:space="preserve"> </w:t>
      </w:r>
    </w:p>
    <w:p w:rsidR="00DF4D58" w:rsidRDefault="00DF4D58" w:rsidP="00DF4D58">
      <w:pPr>
        <w:jc w:val="both"/>
        <w:rPr>
          <w:b/>
        </w:rPr>
      </w:pPr>
    </w:p>
    <w:p w:rsidR="00DF4D58" w:rsidRDefault="00DF4D58" w:rsidP="00DF4D58">
      <w:pPr>
        <w:jc w:val="both"/>
        <w:rPr>
          <w:b/>
        </w:rPr>
      </w:pPr>
    </w:p>
    <w:p w:rsidR="00DF4D58" w:rsidRDefault="00DF4D58" w:rsidP="00DF4D58">
      <w:pPr>
        <w:jc w:val="both"/>
        <w:rPr>
          <w:b/>
        </w:rPr>
      </w:pPr>
    </w:p>
    <w:p w:rsidR="00DF4D58" w:rsidRPr="00DC5BBB" w:rsidRDefault="00DF4D58" w:rsidP="00DF4D58">
      <w:pPr>
        <w:jc w:val="center"/>
        <w:rPr>
          <w:b/>
        </w:rPr>
      </w:pPr>
      <w:r w:rsidRPr="00A07839">
        <w:rPr>
          <w:b/>
        </w:rPr>
        <w:t>I. ПРЕДМЕТ ДОГОВОРУ</w:t>
      </w:r>
    </w:p>
    <w:p w:rsidR="00DF4D58" w:rsidRPr="00A339B6" w:rsidRDefault="00DF4D58" w:rsidP="00DF4D58">
      <w:pPr>
        <w:jc w:val="center"/>
        <w:outlineLvl w:val="0"/>
        <w:rPr>
          <w:b/>
          <w:sz w:val="16"/>
          <w:szCs w:val="16"/>
        </w:rPr>
      </w:pPr>
    </w:p>
    <w:p w:rsidR="00DF4D58" w:rsidRDefault="00DF4D58" w:rsidP="00DF4D58">
      <w:r w:rsidRPr="00A07839">
        <w:t xml:space="preserve">1.1. Замовник доручає, а Генпідрядник забезпечує відповідно до проектної документації та умов Договору виконання </w:t>
      </w:r>
      <w:r>
        <w:t xml:space="preserve">робіт </w:t>
      </w:r>
      <w:r w:rsidRPr="00323035">
        <w:t xml:space="preserve">з </w:t>
      </w:r>
      <w:r>
        <w:t>технічного переоснащення</w:t>
      </w:r>
      <w:r w:rsidRPr="00893758">
        <w:t xml:space="preserve"> ТП із заміною шаф та силових трансформаторів 6-10/0,4 кВ</w:t>
      </w:r>
      <w:r>
        <w:t>:</w:t>
      </w:r>
      <w:r w:rsidRPr="00893758">
        <w:t xml:space="preserve"> </w:t>
      </w:r>
    </w:p>
    <w:p w:rsidR="00DF4D58" w:rsidRPr="007B1DCB" w:rsidRDefault="00DF4D58" w:rsidP="00DF4D58">
      <w:pPr>
        <w:rPr>
          <w:sz w:val="16"/>
          <w:szCs w:val="16"/>
        </w:rPr>
      </w:pPr>
    </w:p>
    <w:tbl>
      <w:tblPr>
        <w:tblStyle w:val="af5"/>
        <w:tblW w:w="9923" w:type="dxa"/>
        <w:tblInd w:w="108" w:type="dxa"/>
        <w:tblLayout w:type="fixed"/>
        <w:tblLook w:val="04A0" w:firstRow="1" w:lastRow="0" w:firstColumn="1" w:lastColumn="0" w:noHBand="0" w:noVBand="1"/>
      </w:tblPr>
      <w:tblGrid>
        <w:gridCol w:w="567"/>
        <w:gridCol w:w="6521"/>
        <w:gridCol w:w="1417"/>
        <w:gridCol w:w="1418"/>
      </w:tblGrid>
      <w:tr w:rsidR="00DF4D58" w:rsidRPr="00114D53" w:rsidTr="002C665B">
        <w:tc>
          <w:tcPr>
            <w:tcW w:w="567" w:type="dxa"/>
            <w:vAlign w:val="center"/>
          </w:tcPr>
          <w:p w:rsidR="00DF4D58" w:rsidRPr="00375E9F" w:rsidRDefault="00DF4D58" w:rsidP="002C665B">
            <w:pPr>
              <w:jc w:val="center"/>
              <w:rPr>
                <w:b/>
                <w:lang w:eastAsia="uk-UA"/>
              </w:rPr>
            </w:pPr>
            <w:r w:rsidRPr="00375E9F">
              <w:rPr>
                <w:b/>
                <w:lang w:eastAsia="uk-UA"/>
              </w:rPr>
              <w:t>№ з/п</w:t>
            </w:r>
          </w:p>
        </w:tc>
        <w:tc>
          <w:tcPr>
            <w:tcW w:w="6521" w:type="dxa"/>
            <w:vAlign w:val="center"/>
          </w:tcPr>
          <w:p w:rsidR="00DF4D58" w:rsidRPr="00375E9F" w:rsidRDefault="00DF4D58" w:rsidP="002C665B">
            <w:pPr>
              <w:jc w:val="center"/>
              <w:rPr>
                <w:b/>
                <w:lang w:eastAsia="uk-UA"/>
              </w:rPr>
            </w:pPr>
            <w:r w:rsidRPr="00375E9F">
              <w:rPr>
                <w:b/>
                <w:lang w:eastAsia="uk-UA"/>
              </w:rPr>
              <w:t>Найменування об’єкту</w:t>
            </w:r>
          </w:p>
        </w:tc>
        <w:tc>
          <w:tcPr>
            <w:tcW w:w="1417" w:type="dxa"/>
            <w:vAlign w:val="center"/>
          </w:tcPr>
          <w:p w:rsidR="00DF4D58" w:rsidRPr="00375E9F" w:rsidRDefault="00DF4D58" w:rsidP="002C665B">
            <w:pPr>
              <w:jc w:val="center"/>
              <w:rPr>
                <w:b/>
                <w:lang w:eastAsia="uk-UA"/>
              </w:rPr>
            </w:pPr>
            <w:r w:rsidRPr="00375E9F">
              <w:rPr>
                <w:b/>
                <w:lang w:eastAsia="uk-UA"/>
              </w:rPr>
              <w:t>Одиниця виміру</w:t>
            </w:r>
          </w:p>
        </w:tc>
        <w:tc>
          <w:tcPr>
            <w:tcW w:w="1418" w:type="dxa"/>
            <w:vAlign w:val="center"/>
          </w:tcPr>
          <w:p w:rsidR="00DF4D58" w:rsidRPr="00375E9F" w:rsidRDefault="00DF4D58" w:rsidP="002C665B">
            <w:pPr>
              <w:jc w:val="center"/>
              <w:rPr>
                <w:b/>
                <w:lang w:eastAsia="uk-UA"/>
              </w:rPr>
            </w:pPr>
            <w:r w:rsidRPr="00375E9F">
              <w:rPr>
                <w:b/>
                <w:lang w:eastAsia="uk-UA"/>
              </w:rPr>
              <w:t>Кількість</w:t>
            </w:r>
          </w:p>
        </w:tc>
      </w:tr>
      <w:tr w:rsidR="00DF4D58" w:rsidRPr="00683508" w:rsidTr="002C665B">
        <w:tc>
          <w:tcPr>
            <w:tcW w:w="567" w:type="dxa"/>
            <w:vAlign w:val="center"/>
          </w:tcPr>
          <w:p w:rsidR="00DF4D58" w:rsidRPr="00375E9F" w:rsidRDefault="00DF4D58" w:rsidP="002C665B">
            <w:pPr>
              <w:jc w:val="center"/>
              <w:rPr>
                <w:lang w:eastAsia="uk-UA"/>
              </w:rPr>
            </w:pPr>
            <w:r w:rsidRPr="00375E9F">
              <w:rPr>
                <w:lang w:eastAsia="uk-UA"/>
              </w:rPr>
              <w:t>1</w:t>
            </w:r>
          </w:p>
        </w:tc>
        <w:tc>
          <w:tcPr>
            <w:tcW w:w="6521" w:type="dxa"/>
            <w:vAlign w:val="center"/>
          </w:tcPr>
          <w:p w:rsidR="00DF4D58" w:rsidRPr="00375E9F" w:rsidRDefault="00DF4D58" w:rsidP="002C665B">
            <w:pPr>
              <w:outlineLvl w:val="0"/>
              <w:rPr>
                <w:lang w:eastAsia="uk-UA"/>
              </w:rPr>
            </w:pPr>
            <w:r w:rsidRPr="00375E9F">
              <w:t>Технічне переоснащення ТП із заміною шафи та силового трансформатора на</w:t>
            </w:r>
            <w:r w:rsidRPr="00375E9F">
              <w:rPr>
                <w:spacing w:val="-3"/>
              </w:rPr>
              <w:t xml:space="preserve"> </w:t>
            </w:r>
            <w:r w:rsidRPr="00375E9F">
              <w:t>ТМГ- 100/10(6)/0,4-У1, У/Zn-11</w:t>
            </w:r>
          </w:p>
        </w:tc>
        <w:tc>
          <w:tcPr>
            <w:tcW w:w="1417" w:type="dxa"/>
            <w:vAlign w:val="center"/>
          </w:tcPr>
          <w:p w:rsidR="00DF4D58" w:rsidRPr="00375E9F" w:rsidRDefault="00DF4D58" w:rsidP="002C665B">
            <w:pPr>
              <w:jc w:val="center"/>
              <w:rPr>
                <w:lang w:eastAsia="uk-UA"/>
              </w:rPr>
            </w:pPr>
            <w:r w:rsidRPr="00375E9F">
              <w:rPr>
                <w:lang w:eastAsia="uk-UA"/>
              </w:rPr>
              <w:t>шт.</w:t>
            </w:r>
          </w:p>
        </w:tc>
        <w:tc>
          <w:tcPr>
            <w:tcW w:w="1418" w:type="dxa"/>
            <w:vAlign w:val="center"/>
          </w:tcPr>
          <w:p w:rsidR="00DF4D58" w:rsidRPr="00375E9F" w:rsidRDefault="00DF4D58" w:rsidP="002C665B">
            <w:pPr>
              <w:jc w:val="center"/>
              <w:rPr>
                <w:lang w:eastAsia="uk-UA"/>
              </w:rPr>
            </w:pPr>
            <w:r w:rsidRPr="00375E9F">
              <w:rPr>
                <w:lang w:eastAsia="uk-UA"/>
              </w:rPr>
              <w:t xml:space="preserve">28 </w:t>
            </w:r>
          </w:p>
        </w:tc>
      </w:tr>
      <w:tr w:rsidR="00DF4D58" w:rsidRPr="00683508" w:rsidTr="002C665B">
        <w:tc>
          <w:tcPr>
            <w:tcW w:w="567" w:type="dxa"/>
            <w:vAlign w:val="center"/>
          </w:tcPr>
          <w:p w:rsidR="00DF4D58" w:rsidRPr="00375E9F" w:rsidRDefault="00DF4D58" w:rsidP="002C665B">
            <w:pPr>
              <w:jc w:val="center"/>
              <w:rPr>
                <w:lang w:eastAsia="uk-UA"/>
              </w:rPr>
            </w:pPr>
            <w:r w:rsidRPr="00375E9F">
              <w:rPr>
                <w:lang w:eastAsia="uk-UA"/>
              </w:rPr>
              <w:t>2</w:t>
            </w:r>
          </w:p>
        </w:tc>
        <w:tc>
          <w:tcPr>
            <w:tcW w:w="6521" w:type="dxa"/>
            <w:vAlign w:val="center"/>
          </w:tcPr>
          <w:p w:rsidR="00DF4D58" w:rsidRPr="00375E9F" w:rsidRDefault="00DF4D58" w:rsidP="002C665B">
            <w:pPr>
              <w:outlineLvl w:val="0"/>
            </w:pPr>
            <w:r w:rsidRPr="00375E9F">
              <w:t>Технічне переоснащення ТП із заміною шафи та силового трансформатора на ТМГ-250/10(6)/0,4-У1, Д/Ун-11</w:t>
            </w:r>
          </w:p>
        </w:tc>
        <w:tc>
          <w:tcPr>
            <w:tcW w:w="1417" w:type="dxa"/>
            <w:vAlign w:val="center"/>
          </w:tcPr>
          <w:p w:rsidR="00DF4D58" w:rsidRPr="00375E9F" w:rsidRDefault="00DF4D58" w:rsidP="002C665B">
            <w:pPr>
              <w:jc w:val="center"/>
              <w:rPr>
                <w:lang w:eastAsia="uk-UA"/>
              </w:rPr>
            </w:pPr>
            <w:r w:rsidRPr="00375E9F">
              <w:rPr>
                <w:lang w:eastAsia="uk-UA"/>
              </w:rPr>
              <w:t>шт.</w:t>
            </w:r>
          </w:p>
        </w:tc>
        <w:tc>
          <w:tcPr>
            <w:tcW w:w="1418" w:type="dxa"/>
            <w:vAlign w:val="center"/>
          </w:tcPr>
          <w:p w:rsidR="00DF4D58" w:rsidRPr="00375E9F" w:rsidRDefault="00DF4D58" w:rsidP="002C665B">
            <w:pPr>
              <w:jc w:val="center"/>
              <w:rPr>
                <w:lang w:eastAsia="uk-UA"/>
              </w:rPr>
            </w:pPr>
            <w:r w:rsidRPr="00375E9F">
              <w:rPr>
                <w:lang w:eastAsia="uk-UA"/>
              </w:rPr>
              <w:t>4</w:t>
            </w:r>
          </w:p>
        </w:tc>
      </w:tr>
    </w:tbl>
    <w:p w:rsidR="00DF4D58" w:rsidRPr="000C33F6" w:rsidRDefault="00DF4D58" w:rsidP="00DF4D58">
      <w:pPr>
        <w:jc w:val="center"/>
        <w:outlineLvl w:val="0"/>
        <w:rPr>
          <w:b/>
          <w:sz w:val="12"/>
          <w:szCs w:val="12"/>
        </w:rPr>
      </w:pPr>
    </w:p>
    <w:p w:rsidR="00DF4D58" w:rsidRPr="00A07839" w:rsidRDefault="00DF4D58" w:rsidP="00DF4D58">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DF4D58" w:rsidRPr="005C6DC9" w:rsidRDefault="00DF4D58" w:rsidP="00DF4D58">
      <w:pPr>
        <w:jc w:val="both"/>
        <w:rPr>
          <w:spacing w:val="-2"/>
        </w:rPr>
      </w:pPr>
      <w:r w:rsidRPr="005C6DC9">
        <w:rPr>
          <w:spacing w:val="-2"/>
        </w:rPr>
        <w:t>1.3. Обсяги робіт можуть бути зменшені залежно від реального фінансування видатків.</w:t>
      </w:r>
    </w:p>
    <w:p w:rsidR="00DF4D58" w:rsidRPr="000C33F6" w:rsidRDefault="00DF4D58" w:rsidP="00DF4D58">
      <w:pPr>
        <w:jc w:val="center"/>
        <w:outlineLvl w:val="0"/>
        <w:rPr>
          <w:b/>
          <w:sz w:val="12"/>
          <w:szCs w:val="12"/>
        </w:rPr>
      </w:pPr>
    </w:p>
    <w:p w:rsidR="00DF4D58" w:rsidRPr="00316BB5" w:rsidRDefault="00DF4D58" w:rsidP="00DF4D58">
      <w:pPr>
        <w:jc w:val="center"/>
        <w:outlineLvl w:val="0"/>
        <w:rPr>
          <w:b/>
        </w:rPr>
      </w:pPr>
      <w:r w:rsidRPr="00A07839">
        <w:rPr>
          <w:b/>
        </w:rPr>
        <w:t xml:space="preserve">II. ЯКІСТЬ РОБІТ </w:t>
      </w:r>
    </w:p>
    <w:p w:rsidR="00DF4D58" w:rsidRPr="001E103B" w:rsidRDefault="00DF4D58" w:rsidP="00DF4D58">
      <w:pPr>
        <w:jc w:val="center"/>
        <w:outlineLvl w:val="0"/>
        <w:rPr>
          <w:b/>
          <w:sz w:val="12"/>
          <w:szCs w:val="12"/>
        </w:rPr>
      </w:pPr>
    </w:p>
    <w:p w:rsidR="00DF4D58" w:rsidRPr="00A07839" w:rsidRDefault="00DF4D58" w:rsidP="00DF4D58">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DF4D58" w:rsidRPr="00A61303" w:rsidRDefault="00DF4D58" w:rsidP="00DF4D58">
      <w:pPr>
        <w:pStyle w:val="Normal1"/>
        <w:shd w:val="clear" w:color="auto" w:fill="FFFFFF"/>
        <w:jc w:val="both"/>
        <w:rPr>
          <w:lang w:val="en-US"/>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нормам виробника.</w:t>
      </w:r>
    </w:p>
    <w:p w:rsidR="00DF4D58" w:rsidRDefault="00DF4D58" w:rsidP="00DF4D58">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5448B4">
        <w:rPr>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w:t>
      </w:r>
      <w:r>
        <w:rPr>
          <w:lang w:val="uk-UA"/>
        </w:rPr>
        <w:t>у</w:t>
      </w:r>
      <w:r w:rsidRPr="005448B4">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w:t>
      </w:r>
      <w:r>
        <w:rPr>
          <w:lang w:val="uk-UA"/>
        </w:rPr>
        <w:t>у</w:t>
      </w:r>
      <w:r w:rsidRPr="005448B4">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w:t>
      </w:r>
      <w:r>
        <w:rPr>
          <w:lang w:val="uk-UA"/>
        </w:rPr>
        <w:t>у</w:t>
      </w:r>
      <w:r w:rsidRPr="005448B4">
        <w:rPr>
          <w:lang w:val="uk-UA"/>
        </w:rPr>
        <w:t xml:space="preserve"> незалежних експертів, </w:t>
      </w:r>
      <w:r w:rsidRPr="005448B4">
        <w:rPr>
          <w:lang w:val="uk-UA"/>
        </w:rPr>
        <w:lastRenderedPageBreak/>
        <w:t>повідомивши про це Генпідрядника. Акт, складений без участі Генпідрядника, надсилається йому для виконання протягом 5-ти днів</w:t>
      </w:r>
      <w:r w:rsidRPr="00EE3F93">
        <w:rPr>
          <w:spacing w:val="-2"/>
          <w:lang w:val="uk-UA"/>
        </w:rPr>
        <w:t xml:space="preserve"> після складання. Генпідрядник відшкодовує Замовнику вартість проведеної експертизи.</w:t>
      </w:r>
    </w:p>
    <w:p w:rsidR="00DF4D58" w:rsidRDefault="00DF4D58" w:rsidP="00DF4D58">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DF4D58" w:rsidRDefault="00DF4D58" w:rsidP="00DF4D58">
      <w:pPr>
        <w:pStyle w:val="Normal1"/>
        <w:shd w:val="clear" w:color="auto" w:fill="FFFFFF"/>
        <w:jc w:val="both"/>
        <w:rPr>
          <w:spacing w:val="-2"/>
          <w:lang w:val="uk-UA"/>
        </w:rPr>
      </w:pPr>
    </w:p>
    <w:p w:rsidR="00DF4D58" w:rsidRDefault="00DF4D58" w:rsidP="00DF4D58">
      <w:pPr>
        <w:jc w:val="center"/>
        <w:outlineLvl w:val="0"/>
        <w:rPr>
          <w:b/>
        </w:rPr>
      </w:pPr>
      <w:r w:rsidRPr="00A07839">
        <w:rPr>
          <w:b/>
        </w:rPr>
        <w:t>III. ЦІНА ДОГОВОРУ</w:t>
      </w:r>
    </w:p>
    <w:p w:rsidR="00DF4D58" w:rsidRPr="000C33F6" w:rsidRDefault="00DF4D58" w:rsidP="00DF4D58">
      <w:pPr>
        <w:jc w:val="center"/>
        <w:outlineLvl w:val="0"/>
        <w:rPr>
          <w:b/>
          <w:sz w:val="12"/>
          <w:szCs w:val="12"/>
        </w:rPr>
      </w:pPr>
    </w:p>
    <w:p w:rsidR="00DF4D58" w:rsidRDefault="00DF4D58" w:rsidP="00DF4D58">
      <w:pPr>
        <w:jc w:val="both"/>
        <w:rPr>
          <w:b/>
        </w:rPr>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p>
    <w:p w:rsidR="00DF4D58" w:rsidRDefault="00DF4D58" w:rsidP="00DF4D58">
      <w:pPr>
        <w:jc w:val="both"/>
      </w:pPr>
      <w:r>
        <w:rPr>
          <w:b/>
        </w:rPr>
        <w:t xml:space="preserve">грн. </w:t>
      </w:r>
      <w:r w:rsidRPr="00BB049B">
        <w:t>(</w:t>
      </w:r>
      <w:r>
        <w:rPr>
          <w:lang w:val="en-US"/>
        </w:rPr>
        <w:t xml:space="preserve">                                                                                                             </w:t>
      </w:r>
      <w:r w:rsidRPr="00BB049B">
        <w:t>)</w:t>
      </w:r>
      <w:r>
        <w:t>,</w:t>
      </w:r>
      <w:r w:rsidRPr="005A0145">
        <w:t xml:space="preserve"> в тому числі ПДВ 20 %</w:t>
      </w:r>
      <w:r>
        <w:t xml:space="preserve"> </w:t>
      </w:r>
    </w:p>
    <w:p w:rsidR="00DF4D58" w:rsidRDefault="00DF4D58" w:rsidP="00DF4D58">
      <w:pPr>
        <w:jc w:val="both"/>
        <w:rPr>
          <w:lang w:val="en-US"/>
        </w:rPr>
      </w:pPr>
      <w:r>
        <w:t>В тому числі</w:t>
      </w:r>
      <w:r>
        <w:rPr>
          <w:lang w:val="en-US"/>
        </w:rPr>
        <w:t>:</w:t>
      </w:r>
    </w:p>
    <w:p w:rsidR="00DF4D58" w:rsidRPr="007B1DCB" w:rsidRDefault="00DF4D58" w:rsidP="00DF4D58">
      <w:pPr>
        <w:jc w:val="both"/>
        <w:rPr>
          <w:sz w:val="16"/>
          <w:szCs w:val="16"/>
          <w:lang w:val="en-US"/>
        </w:rPr>
      </w:pPr>
    </w:p>
    <w:tbl>
      <w:tblPr>
        <w:tblStyle w:val="af5"/>
        <w:tblW w:w="9923" w:type="dxa"/>
        <w:tblInd w:w="108" w:type="dxa"/>
        <w:tblLayout w:type="fixed"/>
        <w:tblLook w:val="04A0" w:firstRow="1" w:lastRow="0" w:firstColumn="1" w:lastColumn="0" w:noHBand="0" w:noVBand="1"/>
      </w:tblPr>
      <w:tblGrid>
        <w:gridCol w:w="567"/>
        <w:gridCol w:w="6521"/>
        <w:gridCol w:w="1417"/>
        <w:gridCol w:w="1418"/>
      </w:tblGrid>
      <w:tr w:rsidR="00DF4D58" w:rsidRPr="00114D53" w:rsidTr="002C665B">
        <w:tc>
          <w:tcPr>
            <w:tcW w:w="567" w:type="dxa"/>
            <w:vAlign w:val="center"/>
          </w:tcPr>
          <w:p w:rsidR="00DF4D58" w:rsidRPr="00375E9F" w:rsidRDefault="00DF4D58" w:rsidP="002C665B">
            <w:pPr>
              <w:jc w:val="center"/>
              <w:rPr>
                <w:b/>
                <w:lang w:eastAsia="uk-UA"/>
              </w:rPr>
            </w:pPr>
            <w:r w:rsidRPr="00375E9F">
              <w:rPr>
                <w:b/>
                <w:lang w:eastAsia="uk-UA"/>
              </w:rPr>
              <w:t>№ з/п</w:t>
            </w:r>
          </w:p>
        </w:tc>
        <w:tc>
          <w:tcPr>
            <w:tcW w:w="6521" w:type="dxa"/>
            <w:vAlign w:val="center"/>
          </w:tcPr>
          <w:p w:rsidR="00DF4D58" w:rsidRPr="00375E9F" w:rsidRDefault="00DF4D58" w:rsidP="002C665B">
            <w:pPr>
              <w:jc w:val="center"/>
              <w:rPr>
                <w:b/>
                <w:lang w:eastAsia="uk-UA"/>
              </w:rPr>
            </w:pPr>
            <w:r w:rsidRPr="00375E9F">
              <w:rPr>
                <w:b/>
                <w:lang w:eastAsia="uk-UA"/>
              </w:rPr>
              <w:t>Найменування об’єкту</w:t>
            </w:r>
          </w:p>
        </w:tc>
        <w:tc>
          <w:tcPr>
            <w:tcW w:w="1417" w:type="dxa"/>
            <w:vAlign w:val="center"/>
          </w:tcPr>
          <w:p w:rsidR="00DF4D58" w:rsidRPr="00375E9F" w:rsidRDefault="00DF4D58" w:rsidP="002C665B">
            <w:pPr>
              <w:jc w:val="center"/>
              <w:rPr>
                <w:b/>
                <w:lang w:eastAsia="uk-UA"/>
              </w:rPr>
            </w:pPr>
            <w:r w:rsidRPr="00375E9F">
              <w:rPr>
                <w:b/>
                <w:lang w:eastAsia="uk-UA"/>
              </w:rPr>
              <w:t>Одиниця виміру</w:t>
            </w:r>
          </w:p>
        </w:tc>
        <w:tc>
          <w:tcPr>
            <w:tcW w:w="1418" w:type="dxa"/>
            <w:vAlign w:val="center"/>
          </w:tcPr>
          <w:p w:rsidR="00DF4D58" w:rsidRPr="00375E9F" w:rsidRDefault="00DF4D58" w:rsidP="002C665B">
            <w:pPr>
              <w:jc w:val="center"/>
              <w:rPr>
                <w:b/>
                <w:lang w:eastAsia="uk-UA"/>
              </w:rPr>
            </w:pPr>
            <w:r w:rsidRPr="00375E9F">
              <w:rPr>
                <w:b/>
                <w:lang w:eastAsia="uk-UA"/>
              </w:rPr>
              <w:t>Загальна вартість,</w:t>
            </w:r>
          </w:p>
          <w:p w:rsidR="00DF4D58" w:rsidRPr="00375E9F" w:rsidRDefault="00DF4D58" w:rsidP="002C665B">
            <w:pPr>
              <w:jc w:val="center"/>
              <w:rPr>
                <w:b/>
                <w:lang w:eastAsia="uk-UA"/>
              </w:rPr>
            </w:pPr>
            <w:r w:rsidRPr="00375E9F">
              <w:rPr>
                <w:b/>
                <w:lang w:eastAsia="uk-UA"/>
              </w:rPr>
              <w:t>з ПДВ</w:t>
            </w:r>
          </w:p>
        </w:tc>
      </w:tr>
      <w:tr w:rsidR="00DF4D58" w:rsidRPr="00683508" w:rsidTr="002C665B">
        <w:tc>
          <w:tcPr>
            <w:tcW w:w="567" w:type="dxa"/>
            <w:vAlign w:val="center"/>
          </w:tcPr>
          <w:p w:rsidR="00DF4D58" w:rsidRPr="00375E9F" w:rsidRDefault="00DF4D58" w:rsidP="002C665B">
            <w:pPr>
              <w:jc w:val="center"/>
              <w:rPr>
                <w:lang w:eastAsia="uk-UA"/>
              </w:rPr>
            </w:pPr>
            <w:r w:rsidRPr="00375E9F">
              <w:rPr>
                <w:lang w:eastAsia="uk-UA"/>
              </w:rPr>
              <w:t>1</w:t>
            </w:r>
          </w:p>
        </w:tc>
        <w:tc>
          <w:tcPr>
            <w:tcW w:w="6521" w:type="dxa"/>
            <w:vAlign w:val="center"/>
          </w:tcPr>
          <w:p w:rsidR="00DF4D58" w:rsidRPr="00375E9F" w:rsidRDefault="00DF4D58" w:rsidP="002C665B">
            <w:pPr>
              <w:outlineLvl w:val="0"/>
              <w:rPr>
                <w:lang w:eastAsia="uk-UA"/>
              </w:rPr>
            </w:pPr>
            <w:r w:rsidRPr="00375E9F">
              <w:t>Технічне переоснащення ТП із заміною шафи та силового трансформатора на</w:t>
            </w:r>
            <w:r w:rsidRPr="00375E9F">
              <w:rPr>
                <w:spacing w:val="-3"/>
              </w:rPr>
              <w:t xml:space="preserve"> </w:t>
            </w:r>
            <w:r w:rsidRPr="00375E9F">
              <w:t>ТМГ- 100/10(6)/0,4-У1, У/Zn-11</w:t>
            </w:r>
          </w:p>
        </w:tc>
        <w:tc>
          <w:tcPr>
            <w:tcW w:w="1417" w:type="dxa"/>
            <w:vAlign w:val="center"/>
          </w:tcPr>
          <w:p w:rsidR="00DF4D58" w:rsidRPr="00375E9F" w:rsidRDefault="00DF4D58" w:rsidP="002C665B">
            <w:pPr>
              <w:jc w:val="center"/>
              <w:rPr>
                <w:lang w:eastAsia="uk-UA"/>
              </w:rPr>
            </w:pPr>
            <w:r w:rsidRPr="00375E9F">
              <w:t>грн.</w:t>
            </w:r>
          </w:p>
        </w:tc>
        <w:tc>
          <w:tcPr>
            <w:tcW w:w="1418" w:type="dxa"/>
            <w:vAlign w:val="center"/>
          </w:tcPr>
          <w:p w:rsidR="00DF4D58" w:rsidRPr="00375E9F" w:rsidRDefault="00DF4D58" w:rsidP="002C665B">
            <w:pPr>
              <w:jc w:val="center"/>
              <w:rPr>
                <w:lang w:eastAsia="uk-UA"/>
              </w:rPr>
            </w:pPr>
          </w:p>
        </w:tc>
      </w:tr>
      <w:tr w:rsidR="00DF4D58" w:rsidRPr="00683508" w:rsidTr="002C665B">
        <w:trPr>
          <w:trHeight w:val="447"/>
        </w:trPr>
        <w:tc>
          <w:tcPr>
            <w:tcW w:w="567" w:type="dxa"/>
            <w:vAlign w:val="center"/>
          </w:tcPr>
          <w:p w:rsidR="00DF4D58" w:rsidRPr="00375E9F" w:rsidRDefault="00DF4D58" w:rsidP="002C665B">
            <w:pPr>
              <w:jc w:val="center"/>
              <w:rPr>
                <w:lang w:eastAsia="uk-UA"/>
              </w:rPr>
            </w:pPr>
            <w:r w:rsidRPr="00375E9F">
              <w:rPr>
                <w:lang w:eastAsia="uk-UA"/>
              </w:rPr>
              <w:t>2</w:t>
            </w:r>
          </w:p>
        </w:tc>
        <w:tc>
          <w:tcPr>
            <w:tcW w:w="6521" w:type="dxa"/>
            <w:vAlign w:val="center"/>
          </w:tcPr>
          <w:p w:rsidR="00DF4D58" w:rsidRPr="00375E9F" w:rsidRDefault="00DF4D58" w:rsidP="002C665B">
            <w:pPr>
              <w:outlineLvl w:val="0"/>
            </w:pPr>
            <w:r w:rsidRPr="00375E9F">
              <w:t>Технічне переоснащення ТП із заміною шафи та силового трансформатора на ТМГ-250/10(6)/0,4-У1, Д/Ун-11</w:t>
            </w:r>
          </w:p>
        </w:tc>
        <w:tc>
          <w:tcPr>
            <w:tcW w:w="1417" w:type="dxa"/>
            <w:vAlign w:val="center"/>
          </w:tcPr>
          <w:p w:rsidR="00DF4D58" w:rsidRPr="00375E9F" w:rsidRDefault="00DF4D58" w:rsidP="002C665B">
            <w:pPr>
              <w:jc w:val="center"/>
              <w:rPr>
                <w:lang w:eastAsia="uk-UA"/>
              </w:rPr>
            </w:pPr>
            <w:r w:rsidRPr="00375E9F">
              <w:t>грн.</w:t>
            </w:r>
          </w:p>
        </w:tc>
        <w:tc>
          <w:tcPr>
            <w:tcW w:w="1418" w:type="dxa"/>
            <w:vAlign w:val="center"/>
          </w:tcPr>
          <w:p w:rsidR="00DF4D58" w:rsidRPr="00375E9F" w:rsidRDefault="00DF4D58" w:rsidP="002C665B">
            <w:pPr>
              <w:jc w:val="center"/>
              <w:rPr>
                <w:lang w:eastAsia="uk-UA"/>
              </w:rPr>
            </w:pPr>
          </w:p>
        </w:tc>
      </w:tr>
    </w:tbl>
    <w:p w:rsidR="00DF4D58" w:rsidRPr="00690166" w:rsidRDefault="00DF4D58" w:rsidP="00DF4D58">
      <w:pPr>
        <w:jc w:val="both"/>
        <w:rPr>
          <w:sz w:val="12"/>
          <w:szCs w:val="12"/>
        </w:rPr>
      </w:pPr>
    </w:p>
    <w:p w:rsidR="00DF4D58" w:rsidRDefault="00DF4D58" w:rsidP="00DF4D58">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DF4D58" w:rsidRPr="00DA2A7A" w:rsidRDefault="00DF4D58" w:rsidP="00DF4D58">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DF4D58" w:rsidRPr="000C33F6" w:rsidRDefault="00DF4D58" w:rsidP="00DF4D58">
      <w:pPr>
        <w:jc w:val="center"/>
        <w:outlineLvl w:val="0"/>
        <w:rPr>
          <w:b/>
          <w:sz w:val="12"/>
          <w:szCs w:val="12"/>
        </w:rPr>
      </w:pPr>
    </w:p>
    <w:p w:rsidR="00DF4D58" w:rsidRPr="00316BB5" w:rsidRDefault="00DF4D58" w:rsidP="00DF4D58">
      <w:pPr>
        <w:jc w:val="center"/>
        <w:outlineLvl w:val="0"/>
        <w:rPr>
          <w:b/>
        </w:rPr>
      </w:pPr>
      <w:r w:rsidRPr="00A07839">
        <w:rPr>
          <w:b/>
        </w:rPr>
        <w:t>IV. ПОРЯДОК ЗДІЙСНЕННЯ ОПЛАТИ</w:t>
      </w:r>
    </w:p>
    <w:p w:rsidR="00DF4D58" w:rsidRPr="000C33F6" w:rsidRDefault="00DF4D58" w:rsidP="00DF4D58">
      <w:pPr>
        <w:jc w:val="center"/>
        <w:outlineLvl w:val="0"/>
        <w:rPr>
          <w:b/>
          <w:sz w:val="12"/>
          <w:szCs w:val="12"/>
        </w:rPr>
      </w:pPr>
    </w:p>
    <w:p w:rsidR="00DF4D58" w:rsidRPr="001C2724" w:rsidRDefault="00DF4D58" w:rsidP="00DF4D58">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Акту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DF4D58" w:rsidRDefault="00DF4D58" w:rsidP="00DF4D58">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DF4D58" w:rsidRPr="005A0145" w:rsidRDefault="00DF4D58" w:rsidP="00DF4D58">
      <w:pPr>
        <w:jc w:val="both"/>
      </w:pPr>
      <w:r w:rsidRPr="005A0145">
        <w:t>4.</w:t>
      </w:r>
      <w:r>
        <w:t>3</w:t>
      </w:r>
      <w:r w:rsidRPr="005A0145">
        <w:t>. Розрахунки за виконані роботи з субпідрядниками здійснюються Генпідрядником.</w:t>
      </w:r>
    </w:p>
    <w:p w:rsidR="00DF4D58" w:rsidRPr="00690166" w:rsidRDefault="00DF4D58" w:rsidP="00DF4D58">
      <w:pPr>
        <w:jc w:val="center"/>
        <w:outlineLvl w:val="0"/>
        <w:rPr>
          <w:b/>
          <w:sz w:val="12"/>
          <w:szCs w:val="12"/>
        </w:rPr>
      </w:pPr>
    </w:p>
    <w:p w:rsidR="00DF4D58" w:rsidRPr="00316BB5" w:rsidRDefault="00DF4D58" w:rsidP="00DF4D58">
      <w:pPr>
        <w:jc w:val="center"/>
        <w:outlineLvl w:val="0"/>
        <w:rPr>
          <w:b/>
        </w:rPr>
      </w:pPr>
      <w:r w:rsidRPr="00A07839">
        <w:rPr>
          <w:b/>
        </w:rPr>
        <w:t>V. ВИКОНАННЯ РОБІТ</w:t>
      </w:r>
    </w:p>
    <w:p w:rsidR="00DF4D58" w:rsidRPr="001E103B" w:rsidRDefault="00DF4D58" w:rsidP="00DF4D58">
      <w:pPr>
        <w:jc w:val="center"/>
        <w:outlineLvl w:val="0"/>
        <w:rPr>
          <w:b/>
          <w:sz w:val="12"/>
          <w:szCs w:val="12"/>
        </w:rPr>
      </w:pPr>
    </w:p>
    <w:p w:rsidR="00DF4D58" w:rsidRPr="0009329A" w:rsidRDefault="00DF4D58" w:rsidP="00DF4D58">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w:t>
      </w:r>
      <w:r>
        <w:rPr>
          <w:spacing w:val="-4"/>
          <w:lang w:val="en-US"/>
        </w:rPr>
        <w:t>0</w:t>
      </w:r>
      <w:r>
        <w:rPr>
          <w:spacing w:val="-4"/>
        </w:rPr>
        <w:t>.202</w:t>
      </w:r>
      <w:r>
        <w:rPr>
          <w:spacing w:val="-4"/>
          <w:lang w:val="en-US"/>
        </w:rPr>
        <w:t>3</w:t>
      </w:r>
      <w:r>
        <w:rPr>
          <w:spacing w:val="-4"/>
        </w:rPr>
        <w:t>р.</w:t>
      </w:r>
    </w:p>
    <w:p w:rsidR="00DF4D58" w:rsidRPr="00F2228E" w:rsidRDefault="00DF4D58" w:rsidP="00DF4D58">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DF4D58" w:rsidRPr="00A07839" w:rsidRDefault="00DF4D58" w:rsidP="00DF4D58">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F4D58" w:rsidRPr="00A07839" w:rsidRDefault="00DF4D58" w:rsidP="00DF4D58">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DF4D58" w:rsidRPr="0060550A" w:rsidRDefault="00DF4D58" w:rsidP="00DF4D58">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w:t>
      </w:r>
      <w:r w:rsidRPr="0060550A">
        <w:rPr>
          <w:szCs w:val="24"/>
          <w:lang w:val="uk-UA"/>
        </w:rPr>
        <w:lastRenderedPageBreak/>
        <w:t xml:space="preserve">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DF4D58" w:rsidRPr="00A07839" w:rsidRDefault="00DF4D58" w:rsidP="00DF4D58">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DF4D58" w:rsidRDefault="00DF4D58" w:rsidP="00DF4D58">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DF4D58" w:rsidRPr="0077663E" w:rsidRDefault="00DF4D58" w:rsidP="00DF4D58">
      <w:pPr>
        <w:ind w:right="50"/>
        <w:jc w:val="both"/>
        <w:rPr>
          <w:color w:val="000000" w:themeColor="text1"/>
        </w:rPr>
      </w:pPr>
      <w:r>
        <w:t xml:space="preserve">5.8. </w:t>
      </w:r>
      <w:r w:rsidRPr="0077663E">
        <w:rPr>
          <w:color w:val="000000" w:themeColor="text1"/>
        </w:rPr>
        <w:t xml:space="preserve">Час вимкнення споживачів з врахуванням часу на оперативні перемикання на повинен  перевищувати </w:t>
      </w:r>
      <w:bookmarkStart w:id="24" w:name="n18"/>
      <w:bookmarkEnd w:id="24"/>
      <w:r w:rsidRPr="0077663E">
        <w:rPr>
          <w:color w:val="000000" w:themeColor="text1"/>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77663E">
        <w:rPr>
          <w:color w:val="000000" w:themeColor="text1"/>
        </w:rPr>
        <w:t xml:space="preserve"> 2</w:t>
      </w:r>
      <w:r w:rsidRPr="0077663E">
        <w:rPr>
          <w:color w:val="000000" w:themeColor="text1"/>
          <w:lang w:val="en-US"/>
        </w:rPr>
        <w:t>2</w:t>
      </w:r>
      <w:r w:rsidRPr="0077663E">
        <w:rPr>
          <w:color w:val="000000" w:themeColor="text1"/>
        </w:rPr>
        <w:t xml:space="preserve"> години в літні та 8 годин у зимові місяці сумарно на добу для планових перерв.</w:t>
      </w:r>
    </w:p>
    <w:p w:rsidR="00DF4D58" w:rsidRDefault="00DF4D58" w:rsidP="00DF4D58">
      <w:pPr>
        <w:jc w:val="both"/>
        <w:rPr>
          <w:iCs/>
        </w:rPr>
      </w:pPr>
      <w:r w:rsidRPr="00A07839">
        <w:t>5.</w:t>
      </w:r>
      <w:r>
        <w:t>8</w:t>
      </w:r>
      <w:r w:rsidRPr="00A07839">
        <w:t xml:space="preserve">. Місце виконання робіт: </w:t>
      </w:r>
      <w:r w:rsidRPr="005448B4">
        <w:rPr>
          <w:iCs/>
        </w:rPr>
        <w:t>Івано-Франківська область.</w:t>
      </w:r>
    </w:p>
    <w:p w:rsidR="00DF4D58" w:rsidRPr="000C33F6" w:rsidRDefault="00DF4D58" w:rsidP="00DF4D58">
      <w:pPr>
        <w:jc w:val="center"/>
        <w:outlineLvl w:val="0"/>
        <w:rPr>
          <w:b/>
          <w:sz w:val="12"/>
          <w:szCs w:val="12"/>
        </w:rPr>
      </w:pPr>
    </w:p>
    <w:p w:rsidR="00DF4D58" w:rsidRDefault="00DF4D58" w:rsidP="00DF4D58">
      <w:pPr>
        <w:jc w:val="center"/>
        <w:outlineLvl w:val="0"/>
        <w:rPr>
          <w:b/>
          <w:lang w:val="ru-RU"/>
        </w:rPr>
      </w:pPr>
      <w:r w:rsidRPr="00A07839">
        <w:rPr>
          <w:b/>
        </w:rPr>
        <w:t>VI. ПРАВА ТА ОБОВ'ЯЗКИ СТОРІН</w:t>
      </w:r>
    </w:p>
    <w:p w:rsidR="00DF4D58" w:rsidRPr="000C33F6" w:rsidRDefault="00DF4D58" w:rsidP="00DF4D58">
      <w:pPr>
        <w:jc w:val="center"/>
        <w:outlineLvl w:val="0"/>
        <w:rPr>
          <w:b/>
          <w:sz w:val="12"/>
          <w:szCs w:val="12"/>
        </w:rPr>
      </w:pPr>
    </w:p>
    <w:p w:rsidR="00DF4D58" w:rsidRPr="00A07839" w:rsidRDefault="00DF4D58" w:rsidP="00DF4D58">
      <w:pPr>
        <w:jc w:val="both"/>
      </w:pPr>
      <w:r w:rsidRPr="00A07839">
        <w:t xml:space="preserve">6.1. Замовник зобов'язаний: </w:t>
      </w:r>
    </w:p>
    <w:p w:rsidR="00DF4D58" w:rsidRPr="00A07839" w:rsidRDefault="00DF4D58" w:rsidP="00DF4D58">
      <w:pPr>
        <w:jc w:val="both"/>
      </w:pPr>
      <w:r w:rsidRPr="00A07839">
        <w:t xml:space="preserve">6.1.1. Своєчасно та в повному обсязі сплачувати за виконані роботи; </w:t>
      </w:r>
    </w:p>
    <w:p w:rsidR="00DF4D58" w:rsidRPr="00A07839" w:rsidRDefault="00DF4D58" w:rsidP="00DF4D58">
      <w:pPr>
        <w:jc w:val="both"/>
      </w:pPr>
      <w:r w:rsidRPr="00A07839">
        <w:t>6.1.2. Забезпечити Генпідрядника проектною документацією</w:t>
      </w:r>
      <w:r>
        <w:t>, погодженою в установленому порядку</w:t>
      </w:r>
      <w:r w:rsidRPr="00A07839">
        <w:t>;</w:t>
      </w:r>
    </w:p>
    <w:p w:rsidR="00DF4D58" w:rsidRDefault="00DF4D58" w:rsidP="00DF4D58">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DF4D58" w:rsidRDefault="00DF4D58" w:rsidP="00DF4D58">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DF4D58" w:rsidRPr="00A07839" w:rsidRDefault="00DF4D58" w:rsidP="00DF4D58">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DF4D58" w:rsidRDefault="00DF4D58" w:rsidP="00DF4D58">
      <w:pPr>
        <w:jc w:val="both"/>
      </w:pPr>
      <w:r>
        <w:t>6.2. Замовник має право:</w:t>
      </w:r>
    </w:p>
    <w:p w:rsidR="00DF4D58" w:rsidRPr="00A07839" w:rsidRDefault="00DF4D58" w:rsidP="00DF4D58">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DF4D58" w:rsidRPr="00A07839" w:rsidRDefault="00DF4D58" w:rsidP="00DF4D58">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DF4D58" w:rsidRDefault="00DF4D58" w:rsidP="00DF4D58">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4D58" w:rsidRDefault="00DF4D58" w:rsidP="00DF4D58">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DF4D58" w:rsidRDefault="00DF4D58" w:rsidP="00DF4D58">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6" w:name="127"/>
      <w:bookmarkEnd w:id="26"/>
      <w:r w:rsidRPr="00A07839">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DF4D58" w:rsidRPr="0055706D" w:rsidRDefault="00DF4D58" w:rsidP="00DF4D58">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w:t>
      </w:r>
      <w:r w:rsidRPr="0055706D">
        <w:lastRenderedPageBreak/>
        <w:t>проектній документації та договорі підряду, і не можуть бути усунені Генпідрядником, Замовником або третьою стороною;</w:t>
      </w:r>
    </w:p>
    <w:p w:rsidR="00DF4D58" w:rsidRPr="0055706D" w:rsidRDefault="00DF4D58" w:rsidP="00DF4D58">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F4D58" w:rsidRDefault="00DF4D58" w:rsidP="00DF4D58">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F4D58" w:rsidRPr="00620161" w:rsidRDefault="00DF4D58" w:rsidP="00DF4D58">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F4D58" w:rsidRPr="00620161" w:rsidRDefault="00DF4D58" w:rsidP="00DF4D58">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DF4D58" w:rsidRPr="00620161" w:rsidRDefault="00DF4D58" w:rsidP="00DF4D58">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DF4D58" w:rsidRPr="00620161" w:rsidRDefault="00DF4D58" w:rsidP="00DF4D58">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DF4D58" w:rsidRPr="00620161" w:rsidRDefault="00DF4D58" w:rsidP="00DF4D58">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DF4D58" w:rsidRPr="00620161" w:rsidRDefault="00DF4D58" w:rsidP="00DF4D58">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DF4D58" w:rsidRPr="00620161" w:rsidRDefault="00DF4D58" w:rsidP="00DF4D58">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F4D58" w:rsidRPr="0055706D" w:rsidRDefault="00DF4D58" w:rsidP="00DF4D58">
      <w:pPr>
        <w:jc w:val="both"/>
      </w:pPr>
      <w:r w:rsidRPr="0055706D">
        <w:t xml:space="preserve">6.3. Генпідрядник зобов'язаний: </w:t>
      </w:r>
    </w:p>
    <w:p w:rsidR="00DF4D58" w:rsidRPr="0055706D" w:rsidRDefault="00DF4D58" w:rsidP="00DF4D58">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F4D58" w:rsidRPr="00DE0033" w:rsidRDefault="00DF4D58" w:rsidP="00DF4D58">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F4D58" w:rsidRPr="00A07839" w:rsidRDefault="00DF4D58" w:rsidP="00DF4D58">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DF4D58" w:rsidRPr="00A07839" w:rsidRDefault="00DF4D58" w:rsidP="00DF4D58">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DF4D58" w:rsidRPr="00A07839" w:rsidRDefault="00DF4D58" w:rsidP="00DF4D58">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DF4D58" w:rsidRPr="00A07839" w:rsidRDefault="00DF4D58" w:rsidP="00DF4D58">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DF4D58" w:rsidRPr="00A07839" w:rsidRDefault="00DF4D58" w:rsidP="00DF4D58">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DF4D58" w:rsidRPr="00A07839" w:rsidRDefault="00DF4D58" w:rsidP="00DF4D58">
      <w:pPr>
        <w:jc w:val="both"/>
      </w:pPr>
      <w:r w:rsidRPr="00A07839">
        <w:lastRenderedPageBreak/>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DF4D58" w:rsidRPr="00A07839" w:rsidRDefault="00DF4D58" w:rsidP="00DF4D58">
      <w:pPr>
        <w:jc w:val="both"/>
      </w:pPr>
      <w:r w:rsidRPr="00A07839">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F4D58" w:rsidRPr="00F2228E" w:rsidRDefault="00DF4D58" w:rsidP="00DF4D58">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DF4D58" w:rsidRPr="00F2228E" w:rsidRDefault="00DF4D58" w:rsidP="00DF4D58">
      <w:pPr>
        <w:jc w:val="both"/>
      </w:pPr>
      <w:r w:rsidRPr="00F2228E">
        <w:t>6.3.11. Виконувати демонтаж проводів в присутності представника Замовника.</w:t>
      </w:r>
    </w:p>
    <w:p w:rsidR="00DF4D58" w:rsidRDefault="00DF4D58" w:rsidP="00DF4D58">
      <w:pPr>
        <w:jc w:val="both"/>
      </w:pPr>
      <w:r w:rsidRPr="00F2228E">
        <w:t>6.3.12. Демонтовані матеріали передати Замовнику згідно накладних.</w:t>
      </w:r>
    </w:p>
    <w:p w:rsidR="00DF4D58" w:rsidRPr="00480ECA" w:rsidRDefault="00DF4D58" w:rsidP="00DF4D58">
      <w:pPr>
        <w:jc w:val="both"/>
      </w:pPr>
      <w:r w:rsidRPr="00480ECA">
        <w:t xml:space="preserve">6.3.13. Допускати до виконання робіт персонал, що має відповідні допуски до виконання певних типів робіт. </w:t>
      </w:r>
    </w:p>
    <w:p w:rsidR="00DF4D58" w:rsidRPr="00480ECA" w:rsidRDefault="00DF4D58" w:rsidP="00DF4D58">
      <w:pPr>
        <w:pStyle w:val="aff2"/>
        <w:jc w:val="both"/>
      </w:pPr>
      <w:r w:rsidRPr="00480ECA">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F4D58" w:rsidRDefault="00DF4D58" w:rsidP="00DF4D58">
      <w:pPr>
        <w:pStyle w:val="aff2"/>
        <w:jc w:val="both"/>
      </w:pPr>
      <w:r w:rsidRPr="00480ECA">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F4D58" w:rsidRPr="00A07839" w:rsidRDefault="00DF4D58" w:rsidP="00DF4D58">
      <w:pPr>
        <w:jc w:val="both"/>
      </w:pPr>
      <w:r w:rsidRPr="00A07839">
        <w:t xml:space="preserve">6.4. Генпідрядник має право: </w:t>
      </w:r>
    </w:p>
    <w:p w:rsidR="00DF4D58" w:rsidRPr="00A07839" w:rsidRDefault="00DF4D58" w:rsidP="00DF4D58">
      <w:pPr>
        <w:jc w:val="both"/>
      </w:pPr>
      <w:r w:rsidRPr="00A07839">
        <w:t xml:space="preserve">6.4.1. Своєчасно та в повному обсязі отримувати плату за виконані роботи; </w:t>
      </w:r>
    </w:p>
    <w:p w:rsidR="00DF4D58" w:rsidRPr="00A07839" w:rsidRDefault="00DF4D58" w:rsidP="00DF4D58">
      <w:pPr>
        <w:jc w:val="both"/>
      </w:pPr>
      <w:r w:rsidRPr="00A07839">
        <w:t xml:space="preserve">6.4.2. На дострокове виконання робіт  за письмовим погодженням Замовника; </w:t>
      </w:r>
    </w:p>
    <w:p w:rsidR="00DF4D58" w:rsidRPr="00E04511" w:rsidRDefault="00DF4D58" w:rsidP="00DF4D58">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DF4D58" w:rsidRPr="00FD691F" w:rsidRDefault="00DF4D58" w:rsidP="00DF4D58">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F4D58" w:rsidRDefault="00DF4D58" w:rsidP="00DF4D58">
      <w:pPr>
        <w:jc w:val="both"/>
      </w:pPr>
      <w:r w:rsidRPr="00FD691F">
        <w:t>6.4.5. Ініціювати внесення змін у Договір.</w:t>
      </w:r>
    </w:p>
    <w:p w:rsidR="00DF4D58" w:rsidRDefault="00DF4D58" w:rsidP="00DF4D58">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F4D58" w:rsidRPr="000C33F6" w:rsidRDefault="00DF4D58" w:rsidP="00DF4D58">
      <w:pPr>
        <w:jc w:val="center"/>
        <w:outlineLvl w:val="0"/>
        <w:rPr>
          <w:b/>
          <w:sz w:val="12"/>
          <w:szCs w:val="12"/>
        </w:rPr>
      </w:pPr>
    </w:p>
    <w:p w:rsidR="00DF4D58" w:rsidRDefault="00DF4D58" w:rsidP="00DF4D58">
      <w:pPr>
        <w:jc w:val="center"/>
        <w:outlineLvl w:val="0"/>
        <w:rPr>
          <w:b/>
        </w:rPr>
      </w:pPr>
      <w:r w:rsidRPr="00E04511">
        <w:rPr>
          <w:b/>
        </w:rPr>
        <w:t>VII. ВІДПОВІДАЛЬНІСТЬ СТОРІН</w:t>
      </w:r>
    </w:p>
    <w:p w:rsidR="00DF4D58" w:rsidRPr="000C33F6" w:rsidRDefault="00DF4D58" w:rsidP="00DF4D58">
      <w:pPr>
        <w:jc w:val="center"/>
        <w:outlineLvl w:val="0"/>
        <w:rPr>
          <w:b/>
          <w:sz w:val="12"/>
          <w:szCs w:val="12"/>
        </w:rPr>
      </w:pPr>
    </w:p>
    <w:p w:rsidR="00DF4D58" w:rsidRPr="00E04511" w:rsidRDefault="00DF4D58" w:rsidP="00DF4D58">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F4D58" w:rsidRPr="00E04511" w:rsidRDefault="00DF4D58" w:rsidP="00DF4D58">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F4D58" w:rsidRPr="00E04511" w:rsidRDefault="00DF4D58" w:rsidP="00DF4D58">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F4D58" w:rsidRDefault="00DF4D58" w:rsidP="00DF4D58">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F4D58" w:rsidRDefault="00DF4D58" w:rsidP="00DF4D58">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DF4D58" w:rsidRPr="00480ECA" w:rsidRDefault="00DF4D58" w:rsidP="00DF4D58">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F4D58" w:rsidRPr="00480ECA" w:rsidRDefault="00DF4D58" w:rsidP="00DF4D58">
      <w:pPr>
        <w:jc w:val="both"/>
      </w:pPr>
      <w:r w:rsidRPr="00480ECA">
        <w:lastRenderedPageBreak/>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480ECA">
        <w:t>.</w:t>
      </w:r>
    </w:p>
    <w:p w:rsidR="00DF4D58" w:rsidRPr="00480ECA" w:rsidRDefault="00DF4D58" w:rsidP="00DF4D58">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DF4D58" w:rsidRPr="00480ECA" w:rsidRDefault="00DF4D58" w:rsidP="00DF4D58">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DF4D58" w:rsidRPr="00F800F4" w:rsidRDefault="00DF4D58" w:rsidP="00DF4D58">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F4D58" w:rsidRPr="00F800F4" w:rsidRDefault="00DF4D58" w:rsidP="00DF4D58">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F4D58" w:rsidRPr="00F800F4" w:rsidRDefault="00DF4D58" w:rsidP="00DF4D58">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DF4D58" w:rsidRPr="00F800F4" w:rsidRDefault="00DF4D58" w:rsidP="00DF4D58">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F4D58" w:rsidRPr="00F800F4" w:rsidRDefault="00DF4D58" w:rsidP="00DF4D58">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DF4D58" w:rsidRPr="00F800F4" w:rsidRDefault="00DF4D58" w:rsidP="00DF4D5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F4D58" w:rsidRPr="006B0A50" w:rsidRDefault="00DF4D58" w:rsidP="00DF4D58">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DF4D58" w:rsidRPr="006B0A50" w:rsidRDefault="00DF4D58" w:rsidP="00DF4D58">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DF4D58" w:rsidRPr="006B0A50" w:rsidRDefault="00DF4D58" w:rsidP="00DF4D58">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F4D58" w:rsidRPr="006B0A50" w:rsidRDefault="00DF4D58" w:rsidP="00DF4D58">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F4D58" w:rsidRPr="006B0A50" w:rsidRDefault="00DF4D58" w:rsidP="00DF4D58">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DF4D58" w:rsidRPr="006B0A50" w:rsidRDefault="00DF4D58" w:rsidP="00DF4D58">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en-US"/>
        </w:rPr>
        <w:t xml:space="preserve"> </w:t>
      </w:r>
      <w:r w:rsidRPr="006B0A50">
        <w:rPr>
          <w:rStyle w:val="FontStyle21"/>
          <w:color w:val="000000"/>
        </w:rPr>
        <w:t>Застосування оперативно-господарської санкції може бути оскаржено в судовому порядку.</w:t>
      </w:r>
    </w:p>
    <w:p w:rsidR="00DF4D58" w:rsidRPr="006B0A50" w:rsidRDefault="00DF4D58" w:rsidP="00DF4D58">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DF4D58" w:rsidRPr="006B0A50" w:rsidRDefault="00DF4D58" w:rsidP="00DF4D5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DF4D58" w:rsidRPr="006B0A50" w:rsidRDefault="00DF4D58" w:rsidP="00DF4D58">
      <w:pPr>
        <w:tabs>
          <w:tab w:val="left" w:pos="540"/>
          <w:tab w:val="left" w:pos="567"/>
        </w:tabs>
        <w:jc w:val="both"/>
      </w:pPr>
      <w:r w:rsidRPr="006B0A50">
        <w:lastRenderedPageBreak/>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DF4D58" w:rsidRPr="00B935FD" w:rsidRDefault="00DF4D58" w:rsidP="00DF4D5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F4D58" w:rsidRPr="00B935FD" w:rsidRDefault="00DF4D58" w:rsidP="00DF4D58">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F4D58" w:rsidRPr="00B935FD" w:rsidRDefault="00DF4D58" w:rsidP="00DF4D5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F4D58" w:rsidRPr="00B935FD" w:rsidRDefault="00DF4D58" w:rsidP="00DF4D58">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F4D58" w:rsidRPr="00B935FD" w:rsidRDefault="00DF4D58" w:rsidP="00DF4D5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F4D58" w:rsidRPr="00B935FD" w:rsidRDefault="00DF4D58" w:rsidP="00DF4D58">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F4D58" w:rsidRPr="00B935FD" w:rsidRDefault="00DF4D58" w:rsidP="00DF4D58">
      <w:pPr>
        <w:tabs>
          <w:tab w:val="left" w:pos="567"/>
        </w:tabs>
        <w:jc w:val="both"/>
      </w:pPr>
      <w:r w:rsidRPr="00B935FD">
        <w:tab/>
        <w:t>Скорегована договірна ціна фіксується шляхом підписання додаткової угоди до цього Договору.</w:t>
      </w:r>
    </w:p>
    <w:p w:rsidR="00DF4D58" w:rsidRPr="00B935FD" w:rsidRDefault="00DF4D58" w:rsidP="00DF4D58">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F4D58" w:rsidRPr="00A339B6" w:rsidRDefault="00DF4D58" w:rsidP="00DF4D58">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DF4D58" w:rsidRPr="000C33F6" w:rsidRDefault="00DF4D58" w:rsidP="00DF4D58">
      <w:pPr>
        <w:jc w:val="center"/>
        <w:outlineLvl w:val="0"/>
        <w:rPr>
          <w:b/>
          <w:sz w:val="12"/>
          <w:szCs w:val="12"/>
        </w:rPr>
      </w:pPr>
    </w:p>
    <w:p w:rsidR="00DF4D58" w:rsidRDefault="00DF4D58" w:rsidP="00DF4D58">
      <w:pPr>
        <w:jc w:val="center"/>
        <w:outlineLvl w:val="0"/>
        <w:rPr>
          <w:b/>
        </w:rPr>
      </w:pPr>
      <w:r w:rsidRPr="00A07839">
        <w:rPr>
          <w:b/>
        </w:rPr>
        <w:t>VIII. ОБСТАВИНИ НЕПЕРЕБОРНОЇ СИЛИ</w:t>
      </w:r>
    </w:p>
    <w:p w:rsidR="00DF4D58" w:rsidRPr="000C33F6" w:rsidRDefault="00DF4D58" w:rsidP="00DF4D58">
      <w:pPr>
        <w:jc w:val="center"/>
        <w:outlineLvl w:val="0"/>
        <w:rPr>
          <w:b/>
          <w:sz w:val="12"/>
          <w:szCs w:val="12"/>
        </w:rPr>
      </w:pPr>
    </w:p>
    <w:p w:rsidR="00DF4D58" w:rsidRPr="00A07839" w:rsidRDefault="00DF4D58" w:rsidP="00DF4D58">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F4D58" w:rsidRPr="00A07839" w:rsidRDefault="00DF4D58" w:rsidP="00DF4D58">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F4D58" w:rsidRDefault="00DF4D58" w:rsidP="00DF4D58">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F4D58" w:rsidRPr="00A339B6" w:rsidRDefault="00DF4D58" w:rsidP="00DF4D58">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F4D58" w:rsidRPr="000C33F6" w:rsidRDefault="00DF4D58" w:rsidP="00DF4D58">
      <w:pPr>
        <w:jc w:val="center"/>
        <w:outlineLvl w:val="0"/>
        <w:rPr>
          <w:b/>
          <w:sz w:val="12"/>
          <w:szCs w:val="12"/>
        </w:rPr>
      </w:pPr>
    </w:p>
    <w:p w:rsidR="00DF4D58" w:rsidRDefault="00DF4D58" w:rsidP="00DF4D58">
      <w:pPr>
        <w:jc w:val="center"/>
        <w:outlineLvl w:val="0"/>
        <w:rPr>
          <w:b/>
        </w:rPr>
      </w:pPr>
      <w:r w:rsidRPr="00A07839">
        <w:rPr>
          <w:b/>
        </w:rPr>
        <w:t>IX. ВИРІШЕННЯ СПОРІВ</w:t>
      </w:r>
    </w:p>
    <w:p w:rsidR="00DF4D58" w:rsidRPr="000C33F6" w:rsidRDefault="00DF4D58" w:rsidP="00DF4D58">
      <w:pPr>
        <w:jc w:val="center"/>
        <w:outlineLvl w:val="0"/>
        <w:rPr>
          <w:b/>
          <w:sz w:val="12"/>
          <w:szCs w:val="12"/>
        </w:rPr>
      </w:pPr>
    </w:p>
    <w:p w:rsidR="00DF4D58" w:rsidRPr="00A07839" w:rsidRDefault="00DF4D58" w:rsidP="00DF4D58">
      <w:pPr>
        <w:jc w:val="both"/>
      </w:pPr>
      <w:r w:rsidRPr="00A07839">
        <w:t xml:space="preserve">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w:t>
      </w:r>
      <w:r w:rsidRPr="00A07839">
        <w:lastRenderedPageBreak/>
        <w:t>експертів, продовження строків врегулювання розбіжностей, внесення змін в умови Договору тощо.</w:t>
      </w:r>
    </w:p>
    <w:p w:rsidR="00DF4D58" w:rsidRDefault="00DF4D58" w:rsidP="00DF4D58">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DF4D58" w:rsidRPr="000C33F6" w:rsidRDefault="00DF4D58" w:rsidP="00DF4D58">
      <w:pPr>
        <w:jc w:val="center"/>
        <w:outlineLvl w:val="0"/>
        <w:rPr>
          <w:b/>
          <w:sz w:val="12"/>
          <w:szCs w:val="12"/>
        </w:rPr>
      </w:pPr>
    </w:p>
    <w:p w:rsidR="00DF4D58" w:rsidRDefault="00DF4D58" w:rsidP="00DF4D58">
      <w:pPr>
        <w:jc w:val="center"/>
        <w:outlineLvl w:val="0"/>
        <w:rPr>
          <w:b/>
        </w:rPr>
      </w:pPr>
      <w:r w:rsidRPr="00D42BCE">
        <w:rPr>
          <w:b/>
        </w:rPr>
        <w:t>X. СТРОК ДІЇ ДОГОВОРУ</w:t>
      </w:r>
    </w:p>
    <w:p w:rsidR="00DF4D58" w:rsidRPr="00D42BCE" w:rsidRDefault="00DF4D58" w:rsidP="00DF4D58">
      <w:pPr>
        <w:jc w:val="both"/>
      </w:pPr>
      <w:r>
        <w:t>1</w:t>
      </w:r>
      <w:r w:rsidRPr="00D42BCE">
        <w:t xml:space="preserve">0.1. Цей Договір набирає чинності з моменту підписання його сторонами і діє до </w:t>
      </w:r>
      <w:r>
        <w:t>31 грудня 202</w:t>
      </w:r>
      <w:r>
        <w:rPr>
          <w:lang w:val="en-US"/>
        </w:rPr>
        <w:t>3</w:t>
      </w:r>
      <w:r w:rsidRPr="00D42BCE">
        <w:t xml:space="preserve"> року, але в будь-якому випадку до моменту остаточного виконання зобов’язань Сторонами.</w:t>
      </w:r>
    </w:p>
    <w:p w:rsidR="00DF4D58" w:rsidRDefault="00DF4D58" w:rsidP="00DF4D58">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DF4D58" w:rsidRPr="00A339B6" w:rsidRDefault="00DF4D58" w:rsidP="00DF4D58">
      <w:pPr>
        <w:jc w:val="both"/>
        <w:rPr>
          <w:sz w:val="16"/>
          <w:szCs w:val="16"/>
        </w:rPr>
      </w:pPr>
    </w:p>
    <w:p w:rsidR="00DF4D58" w:rsidRPr="00D42BCE" w:rsidRDefault="00DF4D58" w:rsidP="00DF4D58">
      <w:pPr>
        <w:jc w:val="center"/>
        <w:outlineLvl w:val="0"/>
        <w:rPr>
          <w:b/>
        </w:rPr>
      </w:pPr>
      <w:r w:rsidRPr="00D42BCE">
        <w:rPr>
          <w:b/>
        </w:rPr>
        <w:t>XI. ІНШІ УМОВИ</w:t>
      </w:r>
    </w:p>
    <w:p w:rsidR="00DF4D58" w:rsidRPr="00D42BCE" w:rsidRDefault="00DF4D58" w:rsidP="00DF4D58">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F4D58" w:rsidRPr="00D42BCE" w:rsidRDefault="00DF4D58" w:rsidP="00DF4D58">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F4D58" w:rsidRPr="00D42BCE" w:rsidRDefault="00DF4D58" w:rsidP="00DF4D58">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DF4D58" w:rsidRPr="00D42BCE" w:rsidRDefault="00DF4D58" w:rsidP="00DF4D58">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DF4D58" w:rsidRDefault="00DF4D58" w:rsidP="00DF4D58">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DF4D58" w:rsidRPr="000C33F6" w:rsidRDefault="00DF4D58" w:rsidP="00DF4D58">
      <w:pPr>
        <w:pStyle w:val="Normal1"/>
        <w:shd w:val="clear" w:color="auto" w:fill="FFFFFF"/>
        <w:jc w:val="both"/>
        <w:rPr>
          <w:sz w:val="12"/>
          <w:szCs w:val="12"/>
          <w:lang w:val="uk-UA"/>
        </w:rPr>
      </w:pPr>
    </w:p>
    <w:p w:rsidR="00DF4D58" w:rsidRDefault="00DF4D58" w:rsidP="00DF4D58">
      <w:pPr>
        <w:jc w:val="center"/>
        <w:outlineLvl w:val="0"/>
        <w:rPr>
          <w:b/>
        </w:rPr>
      </w:pPr>
      <w:r w:rsidRPr="00D42BCE">
        <w:rPr>
          <w:b/>
        </w:rPr>
        <w:t>XII. ДОДАТКИ ДО ДОГОВОРУ</w:t>
      </w:r>
    </w:p>
    <w:p w:rsidR="00DF4D58" w:rsidRPr="00A339B6" w:rsidRDefault="00DF4D58" w:rsidP="00DF4D58">
      <w:pPr>
        <w:jc w:val="center"/>
        <w:outlineLvl w:val="0"/>
        <w:rPr>
          <w:b/>
          <w:sz w:val="16"/>
          <w:szCs w:val="16"/>
        </w:rPr>
      </w:pPr>
    </w:p>
    <w:p w:rsidR="00DF4D58" w:rsidRPr="00D42BCE" w:rsidRDefault="00DF4D58" w:rsidP="00DF4D58">
      <w:r w:rsidRPr="00D42BCE">
        <w:t>Невід'ємною частиною цього Договору є:</w:t>
      </w:r>
    </w:p>
    <w:p w:rsidR="00DF4D58" w:rsidRPr="00D42BCE" w:rsidRDefault="00DF4D58" w:rsidP="00DF4D58">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1. Графік</w:t>
      </w:r>
      <w:r>
        <w:rPr>
          <w:szCs w:val="24"/>
          <w:lang w:val="uk-UA"/>
        </w:rPr>
        <w:t xml:space="preserve"> </w:t>
      </w:r>
      <w:r w:rsidRPr="00D42BCE">
        <w:rPr>
          <w:szCs w:val="24"/>
          <w:lang w:val="uk-UA"/>
        </w:rPr>
        <w:t>виконання робіт.</w:t>
      </w:r>
    </w:p>
    <w:p w:rsidR="00DF4D58" w:rsidRPr="00D42BCE" w:rsidRDefault="00DF4D58" w:rsidP="00DF4D58">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DF4D58" w:rsidRDefault="00DF4D58" w:rsidP="00DF4D58">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3. Кошториси.</w:t>
      </w:r>
    </w:p>
    <w:p w:rsidR="00DF4D58" w:rsidRDefault="00DF4D58" w:rsidP="00DF4D58">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Найменування енергооб'єкта, його місцезнаходження та потужність</w:t>
      </w:r>
      <w:r>
        <w:rPr>
          <w:szCs w:val="24"/>
          <w:lang w:val="uk-UA"/>
        </w:rPr>
        <w:t>.</w:t>
      </w:r>
    </w:p>
    <w:p w:rsidR="00DF4D58" w:rsidRPr="004D5523" w:rsidRDefault="00DF4D58" w:rsidP="00DF4D58">
      <w:pPr>
        <w:pStyle w:val="Normal1"/>
        <w:shd w:val="clear" w:color="auto" w:fill="FFFFFF"/>
        <w:jc w:val="both"/>
        <w:rPr>
          <w:b/>
          <w:lang w:val="uk-UA"/>
        </w:rPr>
      </w:pPr>
      <w:r w:rsidRPr="004D5523">
        <w:rPr>
          <w:szCs w:val="24"/>
          <w:lang w:val="uk-UA"/>
        </w:rPr>
        <w:t>Додаток №5 Акт фіксації порушень вимог охорони праці Генпідрядника / субпідрядника</w:t>
      </w:r>
      <w:r w:rsidRPr="004D5523">
        <w:rPr>
          <w:b/>
          <w:lang w:val="uk-UA"/>
        </w:rPr>
        <w:t xml:space="preserve">. </w:t>
      </w:r>
    </w:p>
    <w:p w:rsidR="00DF4D58" w:rsidRPr="004D5523" w:rsidRDefault="00DF4D58" w:rsidP="00DF4D58">
      <w:pPr>
        <w:pStyle w:val="Normal1"/>
        <w:shd w:val="clear" w:color="auto" w:fill="FFFFFF"/>
        <w:jc w:val="both"/>
        <w:rPr>
          <w:szCs w:val="24"/>
          <w:lang w:val="uk-UA"/>
        </w:rPr>
      </w:pPr>
      <w:r w:rsidRPr="004D5523">
        <w:rPr>
          <w:szCs w:val="24"/>
          <w:lang w:val="uk-UA"/>
        </w:rPr>
        <w:t>Додаток №6 Перелік видів порушень, за допущення яких на Генпідрядника накладаються штрафні санкції.</w:t>
      </w:r>
    </w:p>
    <w:p w:rsidR="00DF4D58" w:rsidRDefault="00DF4D58" w:rsidP="00DF4D58">
      <w:pPr>
        <w:pStyle w:val="Normal1"/>
        <w:shd w:val="clear" w:color="auto" w:fill="FFFFFF"/>
        <w:jc w:val="both"/>
        <w:rPr>
          <w:szCs w:val="24"/>
          <w:lang w:val="uk-UA"/>
        </w:rPr>
      </w:pPr>
      <w:r w:rsidRPr="004D5523">
        <w:rPr>
          <w:szCs w:val="24"/>
          <w:lang w:val="uk-UA"/>
        </w:rPr>
        <w:t>Додаток №7 Перелік систематичних видів порушень, за допущення яких на Генпідрядника накладаються штрафні санкції.</w:t>
      </w:r>
    </w:p>
    <w:p w:rsidR="00DF4D58" w:rsidRDefault="00DF4D58" w:rsidP="00DF4D58">
      <w:pPr>
        <w:jc w:val="center"/>
        <w:outlineLvl w:val="0"/>
        <w:rPr>
          <w:b/>
        </w:rPr>
      </w:pPr>
      <w:r w:rsidRPr="00D42BCE">
        <w:rPr>
          <w:b/>
        </w:rPr>
        <w:t>XIII. МІСЦЕЗНАХОДЖЕННЯ ТА БАНКІВСЬКІ РЕКВІЗИТИ СТОРІН</w:t>
      </w:r>
    </w:p>
    <w:p w:rsidR="00DF4D58" w:rsidRPr="000C33F6" w:rsidRDefault="00DF4D58" w:rsidP="00DF4D58">
      <w:pPr>
        <w:rPr>
          <w:sz w:val="8"/>
          <w:szCs w:val="8"/>
        </w:rPr>
      </w:pPr>
    </w:p>
    <w:tbl>
      <w:tblPr>
        <w:tblW w:w="10130" w:type="dxa"/>
        <w:tblInd w:w="40" w:type="dxa"/>
        <w:tblLayout w:type="fixed"/>
        <w:tblCellMar>
          <w:left w:w="40" w:type="dxa"/>
          <w:right w:w="40" w:type="dxa"/>
        </w:tblCellMar>
        <w:tblLook w:val="0000" w:firstRow="0" w:lastRow="0" w:firstColumn="0" w:lastColumn="0" w:noHBand="0" w:noVBand="0"/>
      </w:tblPr>
      <w:tblGrid>
        <w:gridCol w:w="4878"/>
        <w:gridCol w:w="5168"/>
        <w:gridCol w:w="84"/>
      </w:tblGrid>
      <w:tr w:rsidR="00DF4D58" w:rsidRPr="00343FC8" w:rsidTr="002C665B">
        <w:trPr>
          <w:trHeight w:val="421"/>
        </w:trPr>
        <w:tc>
          <w:tcPr>
            <w:tcW w:w="4878" w:type="dxa"/>
            <w:shd w:val="clear" w:color="auto" w:fill="FFFFFF"/>
          </w:tcPr>
          <w:p w:rsidR="00DF4D58" w:rsidRPr="00343FC8" w:rsidRDefault="00DF4D58" w:rsidP="002C665B">
            <w:pPr>
              <w:pStyle w:val="Normal1"/>
              <w:shd w:val="clear" w:color="auto" w:fill="FFFFFF"/>
              <w:rPr>
                <w:szCs w:val="24"/>
                <w:lang w:val="uk-UA"/>
              </w:rPr>
            </w:pPr>
            <w:r w:rsidRPr="00343FC8">
              <w:rPr>
                <w:szCs w:val="24"/>
                <w:lang w:val="uk-UA"/>
              </w:rPr>
              <w:t>ЗАМОВНИК:</w:t>
            </w:r>
          </w:p>
          <w:p w:rsidR="00DF4D58" w:rsidRPr="00343FC8" w:rsidRDefault="00DF4D58" w:rsidP="002C665B">
            <w:pPr>
              <w:rPr>
                <w:b/>
                <w:color w:val="000000"/>
              </w:rPr>
            </w:pPr>
            <w:r w:rsidRPr="00167C86">
              <w:rPr>
                <w:b/>
                <w:color w:val="000000"/>
                <w:lang w:val="ru-RU"/>
              </w:rPr>
              <w:t xml:space="preserve"> </w:t>
            </w:r>
            <w:r w:rsidRPr="00343FC8">
              <w:rPr>
                <w:b/>
                <w:color w:val="000000"/>
              </w:rPr>
              <w:t>АТ “Прикарпаттяобленерго”</w:t>
            </w:r>
          </w:p>
          <w:p w:rsidR="00DF4D58" w:rsidRPr="00343FC8" w:rsidRDefault="00DF4D58" w:rsidP="002C665B">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DF4D58" w:rsidRPr="00343FC8" w:rsidRDefault="00DF4D58" w:rsidP="002C665B">
            <w:pPr>
              <w:rPr>
                <w:color w:val="000000"/>
              </w:rPr>
            </w:pPr>
            <w:r w:rsidRPr="00343FC8">
              <w:rPr>
                <w:color w:val="000000"/>
              </w:rPr>
              <w:t xml:space="preserve"> вул. Індустріальна, 34</w:t>
            </w:r>
          </w:p>
          <w:p w:rsidR="00DF4D58" w:rsidRPr="00CC57AD" w:rsidRDefault="00DF4D58" w:rsidP="002C665B">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DF4D58" w:rsidRDefault="00DF4D58" w:rsidP="002C665B">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DF4D58" w:rsidRPr="00343FC8" w:rsidRDefault="00DF4D58" w:rsidP="002C665B">
            <w:pPr>
              <w:rPr>
                <w:color w:val="000000"/>
              </w:rPr>
            </w:pPr>
            <w:r w:rsidRPr="00CC57AD">
              <w:rPr>
                <w:color w:val="000000"/>
                <w:lang w:val="ru-RU"/>
              </w:rPr>
              <w:t xml:space="preserve"> </w:t>
            </w:r>
            <w:r w:rsidRPr="00343FC8">
              <w:rPr>
                <w:color w:val="000000"/>
              </w:rPr>
              <w:t xml:space="preserve">м. Івано-Франківська філії </w:t>
            </w:r>
          </w:p>
          <w:p w:rsidR="00DF4D58" w:rsidRPr="00343FC8" w:rsidRDefault="00DF4D58" w:rsidP="002C665B">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DF4D58" w:rsidRPr="00343FC8" w:rsidRDefault="00DF4D58" w:rsidP="002C665B">
            <w:pPr>
              <w:rPr>
                <w:color w:val="000000"/>
              </w:rPr>
            </w:pPr>
            <w:r w:rsidRPr="00CC57AD">
              <w:rPr>
                <w:lang w:val="ru-RU"/>
              </w:rPr>
              <w:t xml:space="preserve"> </w:t>
            </w:r>
            <w:r w:rsidRPr="00343FC8">
              <w:t>АТ "Ощадбанк"</w:t>
            </w:r>
          </w:p>
          <w:p w:rsidR="00DF4D58" w:rsidRPr="00343FC8" w:rsidRDefault="00DF4D58" w:rsidP="002C665B">
            <w:pPr>
              <w:rPr>
                <w:color w:val="000000"/>
              </w:rPr>
            </w:pPr>
            <w:r w:rsidRPr="00343FC8">
              <w:rPr>
                <w:color w:val="000000"/>
              </w:rPr>
              <w:t xml:space="preserve"> МФО 336503</w:t>
            </w:r>
          </w:p>
          <w:p w:rsidR="00DF4D58" w:rsidRPr="00343FC8" w:rsidRDefault="00DF4D58" w:rsidP="002C665B">
            <w:pPr>
              <w:rPr>
                <w:color w:val="000000"/>
              </w:rPr>
            </w:pPr>
            <w:r w:rsidRPr="00343FC8">
              <w:rPr>
                <w:color w:val="000000"/>
              </w:rPr>
              <w:lastRenderedPageBreak/>
              <w:t xml:space="preserve"> ЄДРОПОУ 00131564</w:t>
            </w:r>
          </w:p>
          <w:p w:rsidR="00DF4D58" w:rsidRPr="00ED6034" w:rsidRDefault="00DF4D58" w:rsidP="002C665B">
            <w:pPr>
              <w:rPr>
                <w:color w:val="000000"/>
              </w:rPr>
            </w:pPr>
            <w:r>
              <w:rPr>
                <w:color w:val="000000"/>
              </w:rPr>
              <w:t xml:space="preserve"> </w:t>
            </w:r>
          </w:p>
          <w:p w:rsidR="00DF4D58" w:rsidRPr="00343FC8" w:rsidRDefault="00DF4D58" w:rsidP="002C665B">
            <w:pPr>
              <w:rPr>
                <w:b/>
              </w:rPr>
            </w:pPr>
            <w:r w:rsidRPr="00343FC8">
              <w:rPr>
                <w:b/>
              </w:rPr>
              <w:t xml:space="preserve"> Заступник Голови Правління</w:t>
            </w:r>
          </w:p>
          <w:p w:rsidR="00DF4D58" w:rsidRPr="000C33F6" w:rsidRDefault="00DF4D58" w:rsidP="002C665B">
            <w:r w:rsidRPr="00343FC8">
              <w:t xml:space="preserve"> </w:t>
            </w:r>
          </w:p>
          <w:p w:rsidR="00DF4D58" w:rsidRPr="00343FC8" w:rsidRDefault="00DF4D58" w:rsidP="002C665B">
            <w:r w:rsidRPr="00343FC8">
              <w:t xml:space="preserve">___________________ </w:t>
            </w:r>
            <w:r>
              <w:rPr>
                <w:b/>
              </w:rPr>
              <w:t>Василь</w:t>
            </w:r>
            <w:r w:rsidRPr="00343FC8">
              <w:rPr>
                <w:b/>
              </w:rPr>
              <w:t xml:space="preserve"> </w:t>
            </w:r>
            <w:r>
              <w:rPr>
                <w:b/>
              </w:rPr>
              <w:t>КОСТЮК</w:t>
            </w:r>
          </w:p>
        </w:tc>
        <w:tc>
          <w:tcPr>
            <w:tcW w:w="5252" w:type="dxa"/>
            <w:gridSpan w:val="2"/>
            <w:shd w:val="clear" w:color="auto" w:fill="FFFFFF"/>
          </w:tcPr>
          <w:p w:rsidR="00DF4D58" w:rsidRPr="00343FC8" w:rsidRDefault="00DF4D58" w:rsidP="002C665B">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Default="00DF4D58" w:rsidP="002C665B">
            <w:pPr>
              <w:pStyle w:val="17"/>
              <w:rPr>
                <w:b/>
                <w:color w:val="000000"/>
                <w:lang w:val="uk-UA"/>
              </w:rPr>
            </w:pPr>
          </w:p>
          <w:p w:rsidR="00DF4D58" w:rsidRPr="00D514BA" w:rsidRDefault="00DF4D58" w:rsidP="002C665B">
            <w:pPr>
              <w:pStyle w:val="17"/>
              <w:rPr>
                <w:b/>
                <w:color w:val="000000"/>
                <w:lang w:val="uk-UA"/>
              </w:rPr>
            </w:pPr>
          </w:p>
          <w:p w:rsidR="00DF4D58" w:rsidRPr="00ED6034" w:rsidRDefault="00DF4D58" w:rsidP="002C665B">
            <w:pPr>
              <w:pStyle w:val="17"/>
              <w:rPr>
                <w:b/>
                <w:color w:val="000000"/>
                <w:lang w:val="uk-UA"/>
              </w:rPr>
            </w:pPr>
          </w:p>
        </w:tc>
      </w:tr>
      <w:tr w:rsidR="00DF4D58" w:rsidRPr="00D42BCE" w:rsidTr="002C665B">
        <w:trPr>
          <w:gridAfter w:val="1"/>
          <w:wAfter w:w="84" w:type="dxa"/>
          <w:trHeight w:val="46"/>
        </w:trPr>
        <w:tc>
          <w:tcPr>
            <w:tcW w:w="4878" w:type="dxa"/>
            <w:shd w:val="clear" w:color="auto" w:fill="FFFFFF"/>
          </w:tcPr>
          <w:p w:rsidR="00DF4D58" w:rsidRPr="000341E6" w:rsidRDefault="00DF4D58" w:rsidP="002C665B">
            <w:pPr>
              <w:pStyle w:val="Normal1"/>
              <w:shd w:val="clear" w:color="auto" w:fill="FFFFFF"/>
              <w:rPr>
                <w:szCs w:val="24"/>
                <w:lang w:val="uk-UA"/>
              </w:rPr>
            </w:pPr>
          </w:p>
        </w:tc>
        <w:tc>
          <w:tcPr>
            <w:tcW w:w="5168" w:type="dxa"/>
            <w:shd w:val="clear" w:color="auto" w:fill="FFFFFF"/>
          </w:tcPr>
          <w:p w:rsidR="00DF4D58" w:rsidRPr="00323035" w:rsidRDefault="00DF4D58" w:rsidP="002C665B"/>
        </w:tc>
      </w:tr>
    </w:tbl>
    <w:p w:rsidR="00DF4D58" w:rsidRDefault="00DF4D58" w:rsidP="00DF4D58"/>
    <w:p w:rsidR="00DF4D58" w:rsidRDefault="00DF4D58" w:rsidP="00DF4D58">
      <w:pPr>
        <w:jc w:val="right"/>
      </w:pPr>
      <w:r>
        <w:t>Додаток №4</w:t>
      </w:r>
    </w:p>
    <w:p w:rsidR="00DF4D58" w:rsidRDefault="00DF4D58" w:rsidP="00DF4D58">
      <w:pPr>
        <w:jc w:val="right"/>
      </w:pPr>
      <w:r>
        <w:t>до Договору №____________</w:t>
      </w:r>
    </w:p>
    <w:p w:rsidR="00DF4D58" w:rsidRDefault="00DF4D58" w:rsidP="00DF4D58">
      <w:pPr>
        <w:jc w:val="right"/>
      </w:pPr>
      <w:r>
        <w:t>від «____»________2023 року</w:t>
      </w:r>
    </w:p>
    <w:p w:rsidR="00DF4D58" w:rsidRDefault="00DF4D58" w:rsidP="00DF4D58"/>
    <w:p w:rsidR="00DF4D58" w:rsidRDefault="00DF4D58" w:rsidP="00DF4D58">
      <w:pPr>
        <w:jc w:val="center"/>
        <w:rPr>
          <w:b/>
        </w:rPr>
      </w:pPr>
    </w:p>
    <w:p w:rsidR="00DF4D58" w:rsidRDefault="00DF4D58" w:rsidP="00DF4D58">
      <w:pPr>
        <w:jc w:val="center"/>
      </w:pPr>
      <w:r w:rsidRPr="00CE22C4">
        <w:rPr>
          <w:b/>
        </w:rPr>
        <w:t>Найменування енергооб'єкта, його місцезнаходження та потужність</w:t>
      </w:r>
    </w:p>
    <w:p w:rsidR="00DF4D58" w:rsidRDefault="00DF4D58" w:rsidP="00DF4D58"/>
    <w:tbl>
      <w:tblPr>
        <w:tblStyle w:val="af5"/>
        <w:tblW w:w="0" w:type="auto"/>
        <w:tblLook w:val="04A0" w:firstRow="1" w:lastRow="0" w:firstColumn="1" w:lastColumn="0" w:noHBand="0" w:noVBand="1"/>
      </w:tblPr>
      <w:tblGrid>
        <w:gridCol w:w="565"/>
        <w:gridCol w:w="7004"/>
        <w:gridCol w:w="2060"/>
      </w:tblGrid>
      <w:tr w:rsidR="00DF4D58" w:rsidRPr="005748FF" w:rsidTr="002C665B">
        <w:trPr>
          <w:trHeight w:val="398"/>
        </w:trPr>
        <w:tc>
          <w:tcPr>
            <w:tcW w:w="565" w:type="dxa"/>
            <w:vAlign w:val="center"/>
          </w:tcPr>
          <w:p w:rsidR="00DF4D58" w:rsidRPr="00CE22C4" w:rsidRDefault="00DF4D58" w:rsidP="002C665B">
            <w:pPr>
              <w:jc w:val="center"/>
              <w:rPr>
                <w:b/>
                <w:spacing w:val="-1"/>
              </w:rPr>
            </w:pPr>
            <w:r w:rsidRPr="00114D53">
              <w:rPr>
                <w:b/>
                <w:lang w:eastAsia="uk-UA"/>
              </w:rPr>
              <w:t>№ з/п</w:t>
            </w:r>
          </w:p>
        </w:tc>
        <w:tc>
          <w:tcPr>
            <w:tcW w:w="7004" w:type="dxa"/>
            <w:vAlign w:val="center"/>
          </w:tcPr>
          <w:p w:rsidR="00DF4D58" w:rsidRPr="00CE22C4" w:rsidRDefault="00DF4D58" w:rsidP="002C665B">
            <w:pPr>
              <w:jc w:val="center"/>
              <w:rPr>
                <w:b/>
                <w:spacing w:val="-1"/>
              </w:rPr>
            </w:pPr>
            <w:r w:rsidRPr="00CE22C4">
              <w:rPr>
                <w:b/>
              </w:rPr>
              <w:t>Найменування об'єкта</w:t>
            </w:r>
          </w:p>
        </w:tc>
        <w:tc>
          <w:tcPr>
            <w:tcW w:w="2060" w:type="dxa"/>
          </w:tcPr>
          <w:p w:rsidR="00DF4D58" w:rsidRDefault="00DF4D58" w:rsidP="002C665B">
            <w:pPr>
              <w:jc w:val="center"/>
              <w:rPr>
                <w:b/>
              </w:rPr>
            </w:pPr>
            <w:r w:rsidRPr="00CE22C4">
              <w:rPr>
                <w:b/>
              </w:rPr>
              <w:t>Одиниця виміру</w:t>
            </w:r>
            <w:r>
              <w:rPr>
                <w:b/>
              </w:rPr>
              <w:t>,</w:t>
            </w:r>
          </w:p>
          <w:p w:rsidR="00DF4D58" w:rsidRPr="00CE22C4" w:rsidRDefault="00DF4D58" w:rsidP="002C665B">
            <w:pPr>
              <w:jc w:val="center"/>
              <w:rPr>
                <w:b/>
              </w:rPr>
            </w:pPr>
            <w:r>
              <w:rPr>
                <w:b/>
              </w:rPr>
              <w:t>шт.</w:t>
            </w:r>
          </w:p>
        </w:tc>
      </w:tr>
      <w:tr w:rsidR="00DF4D58" w:rsidRPr="005748FF" w:rsidTr="002C665B">
        <w:trPr>
          <w:trHeight w:val="404"/>
        </w:trPr>
        <w:tc>
          <w:tcPr>
            <w:tcW w:w="9629" w:type="dxa"/>
            <w:gridSpan w:val="3"/>
            <w:vAlign w:val="center"/>
          </w:tcPr>
          <w:p w:rsidR="00DF4D58" w:rsidRPr="00FB18D0" w:rsidRDefault="00DF4D58" w:rsidP="002C665B">
            <w:pPr>
              <w:jc w:val="center"/>
              <w:rPr>
                <w:b/>
                <w:spacing w:val="-1"/>
              </w:rPr>
            </w:pPr>
            <w:r w:rsidRPr="00FB18D0">
              <w:rPr>
                <w:b/>
              </w:rPr>
              <w:t>Модернізація ТП із заміною шафи та силового трансформатора на</w:t>
            </w:r>
            <w:r w:rsidRPr="00FB18D0">
              <w:rPr>
                <w:b/>
                <w:spacing w:val="-3"/>
              </w:rPr>
              <w:t xml:space="preserve"> </w:t>
            </w:r>
            <w:r w:rsidRPr="00FB18D0">
              <w:rPr>
                <w:b/>
              </w:rPr>
              <w:t>ТМГ- 100/10(6)/0,4-У1, У/Zn-11</w:t>
            </w:r>
          </w:p>
        </w:tc>
      </w:tr>
      <w:tr w:rsidR="00DF4D58" w:rsidRPr="005748FF" w:rsidTr="002C665B">
        <w:trPr>
          <w:trHeight w:val="404"/>
        </w:trPr>
        <w:tc>
          <w:tcPr>
            <w:tcW w:w="565" w:type="dxa"/>
            <w:vAlign w:val="center"/>
          </w:tcPr>
          <w:p w:rsidR="00DF4D58" w:rsidRPr="00667504" w:rsidRDefault="00DF4D58" w:rsidP="002C665B">
            <w:pPr>
              <w:jc w:val="center"/>
              <w:rPr>
                <w:spacing w:val="-1"/>
              </w:rPr>
            </w:pPr>
            <w:r w:rsidRPr="00667504">
              <w:rPr>
                <w:spacing w:val="-1"/>
              </w:rPr>
              <w:t>1</w:t>
            </w:r>
          </w:p>
        </w:tc>
        <w:tc>
          <w:tcPr>
            <w:tcW w:w="7004" w:type="dxa"/>
            <w:vAlign w:val="center"/>
          </w:tcPr>
          <w:p w:rsidR="00DF4D58" w:rsidRPr="0045242C" w:rsidRDefault="00DF4D58" w:rsidP="002C665B">
            <w:pPr>
              <w:outlineLvl w:val="0"/>
              <w:rPr>
                <w:lang w:eastAsia="uk-UA"/>
              </w:rPr>
            </w:pPr>
            <w:r w:rsidRPr="0045242C">
              <w:t>ТП-77 с. Річка філії Карпатська</w:t>
            </w:r>
          </w:p>
        </w:tc>
        <w:tc>
          <w:tcPr>
            <w:tcW w:w="2060" w:type="dxa"/>
          </w:tcPr>
          <w:p w:rsidR="00DF4D58" w:rsidRPr="00667504" w:rsidRDefault="00DF4D58" w:rsidP="002C665B">
            <w:pPr>
              <w:jc w:val="center"/>
              <w:rPr>
                <w:spacing w:val="-1"/>
              </w:rPr>
            </w:pPr>
            <w:r w:rsidRPr="00667504">
              <w:rPr>
                <w:spacing w:val="-1"/>
              </w:rPr>
              <w:t>1</w:t>
            </w:r>
          </w:p>
        </w:tc>
      </w:tr>
      <w:tr w:rsidR="00DF4D58" w:rsidRPr="005748FF" w:rsidTr="002C665B">
        <w:trPr>
          <w:trHeight w:val="424"/>
        </w:trPr>
        <w:tc>
          <w:tcPr>
            <w:tcW w:w="565" w:type="dxa"/>
            <w:vAlign w:val="center"/>
          </w:tcPr>
          <w:p w:rsidR="00DF4D58" w:rsidRPr="00667504" w:rsidRDefault="00DF4D58" w:rsidP="002C665B">
            <w:pPr>
              <w:jc w:val="center"/>
              <w:rPr>
                <w:spacing w:val="-1"/>
              </w:rPr>
            </w:pPr>
            <w:r w:rsidRPr="00667504">
              <w:rPr>
                <w:spacing w:val="-1"/>
              </w:rPr>
              <w:t>2</w:t>
            </w:r>
          </w:p>
        </w:tc>
        <w:tc>
          <w:tcPr>
            <w:tcW w:w="7004" w:type="dxa"/>
            <w:vAlign w:val="center"/>
          </w:tcPr>
          <w:p w:rsidR="00DF4D58" w:rsidRPr="0045242C" w:rsidRDefault="00DF4D58" w:rsidP="002C665B">
            <w:pPr>
              <w:outlineLvl w:val="0"/>
            </w:pPr>
            <w:r w:rsidRPr="0045242C">
              <w:t>ТП-26 с. Грамотне філії Карпатська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350"/>
        </w:trPr>
        <w:tc>
          <w:tcPr>
            <w:tcW w:w="565" w:type="dxa"/>
            <w:vAlign w:val="center"/>
          </w:tcPr>
          <w:p w:rsidR="00DF4D58" w:rsidRPr="00667504" w:rsidRDefault="00DF4D58" w:rsidP="002C665B">
            <w:pPr>
              <w:jc w:val="center"/>
              <w:rPr>
                <w:spacing w:val="-1"/>
              </w:rPr>
            </w:pPr>
            <w:r w:rsidRPr="00667504">
              <w:rPr>
                <w:spacing w:val="-1"/>
              </w:rPr>
              <w:t>3</w:t>
            </w:r>
          </w:p>
        </w:tc>
        <w:tc>
          <w:tcPr>
            <w:tcW w:w="7004" w:type="dxa"/>
            <w:vAlign w:val="center"/>
          </w:tcPr>
          <w:p w:rsidR="00DF4D58" w:rsidRPr="0045242C" w:rsidRDefault="00DF4D58" w:rsidP="002C665B">
            <w:pPr>
              <w:outlineLvl w:val="0"/>
            </w:pPr>
            <w:r w:rsidRPr="0045242C">
              <w:t>ТП-71 с. Грабовець філії Карпатська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14"/>
        </w:trPr>
        <w:tc>
          <w:tcPr>
            <w:tcW w:w="565" w:type="dxa"/>
            <w:vAlign w:val="center"/>
          </w:tcPr>
          <w:p w:rsidR="00DF4D58" w:rsidRPr="00667504" w:rsidRDefault="00DF4D58" w:rsidP="002C665B">
            <w:pPr>
              <w:jc w:val="center"/>
              <w:rPr>
                <w:spacing w:val="-1"/>
              </w:rPr>
            </w:pPr>
            <w:r w:rsidRPr="00667504">
              <w:rPr>
                <w:spacing w:val="-1"/>
              </w:rPr>
              <w:t>4</w:t>
            </w:r>
          </w:p>
        </w:tc>
        <w:tc>
          <w:tcPr>
            <w:tcW w:w="7004" w:type="dxa"/>
            <w:vAlign w:val="center"/>
          </w:tcPr>
          <w:p w:rsidR="00DF4D58" w:rsidRPr="0045242C" w:rsidRDefault="00DF4D58" w:rsidP="002C665B">
            <w:pPr>
              <w:outlineLvl w:val="0"/>
            </w:pPr>
            <w:r w:rsidRPr="0045242C">
              <w:t>ТП-99 с. Вербовець філії Карпатська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5</w:t>
            </w:r>
          </w:p>
        </w:tc>
        <w:tc>
          <w:tcPr>
            <w:tcW w:w="7004" w:type="dxa"/>
            <w:vAlign w:val="center"/>
          </w:tcPr>
          <w:p w:rsidR="00DF4D58" w:rsidRPr="0045242C" w:rsidRDefault="00DF4D58" w:rsidP="002C665B">
            <w:pPr>
              <w:outlineLvl w:val="0"/>
            </w:pPr>
            <w:r w:rsidRPr="0045242C">
              <w:t>ТП-47 с. Бабин філії Карпатська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6</w:t>
            </w:r>
          </w:p>
        </w:tc>
        <w:tc>
          <w:tcPr>
            <w:tcW w:w="7004" w:type="dxa"/>
            <w:vAlign w:val="center"/>
          </w:tcPr>
          <w:p w:rsidR="00DF4D58" w:rsidRPr="0045242C" w:rsidRDefault="00DF4D58" w:rsidP="002C665B">
            <w:pPr>
              <w:outlineLvl w:val="0"/>
            </w:pPr>
            <w:r w:rsidRPr="0045242C">
              <w:t>ТП-239 с. Черемхів філії Коломийська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7</w:t>
            </w:r>
          </w:p>
        </w:tc>
        <w:tc>
          <w:tcPr>
            <w:tcW w:w="7004" w:type="dxa"/>
            <w:vAlign w:val="center"/>
          </w:tcPr>
          <w:p w:rsidR="00DF4D58" w:rsidRPr="0045242C" w:rsidRDefault="00DF4D58" w:rsidP="002C665B">
            <w:pPr>
              <w:outlineLvl w:val="0"/>
            </w:pPr>
            <w:r w:rsidRPr="0045242C">
              <w:t>ТП-348 с. Княждвір філії Коломийська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8</w:t>
            </w:r>
          </w:p>
        </w:tc>
        <w:tc>
          <w:tcPr>
            <w:tcW w:w="7004" w:type="dxa"/>
            <w:vAlign w:val="center"/>
          </w:tcPr>
          <w:p w:rsidR="00DF4D58" w:rsidRPr="0045242C" w:rsidRDefault="00DF4D58" w:rsidP="002C665B">
            <w:pPr>
              <w:outlineLvl w:val="0"/>
            </w:pPr>
            <w:r w:rsidRPr="0045242C">
              <w:t>ТП-334 смт. Печеніжин філії Коломийська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9</w:t>
            </w:r>
          </w:p>
        </w:tc>
        <w:tc>
          <w:tcPr>
            <w:tcW w:w="7004" w:type="dxa"/>
            <w:vAlign w:val="center"/>
          </w:tcPr>
          <w:p w:rsidR="00DF4D58" w:rsidRPr="0045242C" w:rsidRDefault="00DF4D58" w:rsidP="002C665B">
            <w:pPr>
              <w:outlineLvl w:val="0"/>
            </w:pPr>
            <w:r w:rsidRPr="0045242C">
              <w:t>ТП-372 с. Рунгори філії Коломийська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10</w:t>
            </w:r>
          </w:p>
        </w:tc>
        <w:tc>
          <w:tcPr>
            <w:tcW w:w="7004" w:type="dxa"/>
            <w:vAlign w:val="center"/>
          </w:tcPr>
          <w:p w:rsidR="00DF4D58" w:rsidRPr="0045242C" w:rsidRDefault="00DF4D58" w:rsidP="002C665B">
            <w:pPr>
              <w:outlineLvl w:val="0"/>
            </w:pPr>
            <w:r w:rsidRPr="0045242C">
              <w:t>ТП-91 с. Пасічна філії Південна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11</w:t>
            </w:r>
          </w:p>
        </w:tc>
        <w:tc>
          <w:tcPr>
            <w:tcW w:w="7004" w:type="dxa"/>
            <w:vAlign w:val="center"/>
          </w:tcPr>
          <w:p w:rsidR="00DF4D58" w:rsidRPr="0045242C" w:rsidRDefault="00DF4D58" w:rsidP="002C665B">
            <w:pPr>
              <w:outlineLvl w:val="0"/>
            </w:pPr>
            <w:r w:rsidRPr="0045242C">
              <w:t>ТП-14 м. Яремче філії Південна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12</w:t>
            </w:r>
          </w:p>
        </w:tc>
        <w:tc>
          <w:tcPr>
            <w:tcW w:w="7004" w:type="dxa"/>
            <w:vAlign w:val="center"/>
          </w:tcPr>
          <w:p w:rsidR="00DF4D58" w:rsidRPr="0045242C" w:rsidRDefault="00DF4D58" w:rsidP="002C665B">
            <w:pPr>
              <w:outlineLvl w:val="0"/>
            </w:pPr>
            <w:r w:rsidRPr="0045242C">
              <w:t>ТП-145 с. Гринівка філії Південна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13</w:t>
            </w:r>
          </w:p>
        </w:tc>
        <w:tc>
          <w:tcPr>
            <w:tcW w:w="7004" w:type="dxa"/>
            <w:vAlign w:val="center"/>
          </w:tcPr>
          <w:p w:rsidR="00DF4D58" w:rsidRPr="0045242C" w:rsidRDefault="00DF4D58" w:rsidP="002C665B">
            <w:pPr>
              <w:outlineLvl w:val="0"/>
            </w:pPr>
            <w:r w:rsidRPr="0045242C">
              <w:t>ТП-362 с. Скобичівка філії Південна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14</w:t>
            </w:r>
          </w:p>
        </w:tc>
        <w:tc>
          <w:tcPr>
            <w:tcW w:w="7004" w:type="dxa"/>
            <w:vAlign w:val="center"/>
          </w:tcPr>
          <w:p w:rsidR="00DF4D58" w:rsidRPr="0045242C" w:rsidRDefault="00DF4D58" w:rsidP="002C665B">
            <w:pPr>
              <w:outlineLvl w:val="0"/>
            </w:pPr>
            <w:r w:rsidRPr="0045242C">
              <w:t>ТП-232 с. Кукільники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15</w:t>
            </w:r>
          </w:p>
        </w:tc>
        <w:tc>
          <w:tcPr>
            <w:tcW w:w="7004" w:type="dxa"/>
            <w:vAlign w:val="center"/>
          </w:tcPr>
          <w:p w:rsidR="00DF4D58" w:rsidRPr="0045242C" w:rsidRDefault="00DF4D58" w:rsidP="002C665B">
            <w:pPr>
              <w:outlineLvl w:val="0"/>
            </w:pPr>
            <w:r w:rsidRPr="0045242C">
              <w:t>ТП-322 с. Приозерне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16</w:t>
            </w:r>
          </w:p>
        </w:tc>
        <w:tc>
          <w:tcPr>
            <w:tcW w:w="7004" w:type="dxa"/>
            <w:vAlign w:val="center"/>
          </w:tcPr>
          <w:p w:rsidR="00DF4D58" w:rsidRPr="0045242C" w:rsidRDefault="00DF4D58" w:rsidP="002C665B">
            <w:pPr>
              <w:outlineLvl w:val="0"/>
            </w:pPr>
            <w:r w:rsidRPr="0045242C">
              <w:t>ТП-173 с. Ст. Мартинів філії Північна</w:t>
            </w:r>
          </w:p>
        </w:tc>
        <w:tc>
          <w:tcPr>
            <w:tcW w:w="2060" w:type="dxa"/>
          </w:tcPr>
          <w:p w:rsidR="00DF4D58" w:rsidRPr="00667504" w:rsidRDefault="00DF4D58" w:rsidP="002C665B">
            <w:pPr>
              <w:jc w:val="center"/>
            </w:pPr>
            <w:r w:rsidRPr="00667504">
              <w:rPr>
                <w:spacing w:val="-1"/>
              </w:rPr>
              <w:t>1</w:t>
            </w:r>
          </w:p>
        </w:tc>
      </w:tr>
      <w:tr w:rsidR="00DF4D58" w:rsidRPr="009A2143" w:rsidTr="002C665B">
        <w:trPr>
          <w:trHeight w:val="458"/>
        </w:trPr>
        <w:tc>
          <w:tcPr>
            <w:tcW w:w="565" w:type="dxa"/>
            <w:vAlign w:val="center"/>
          </w:tcPr>
          <w:p w:rsidR="00DF4D58" w:rsidRPr="00667504" w:rsidRDefault="00DF4D58" w:rsidP="002C665B">
            <w:pPr>
              <w:jc w:val="center"/>
              <w:rPr>
                <w:spacing w:val="-1"/>
              </w:rPr>
            </w:pPr>
            <w:r w:rsidRPr="00667504">
              <w:rPr>
                <w:spacing w:val="-1"/>
              </w:rPr>
              <w:t>17</w:t>
            </w:r>
          </w:p>
        </w:tc>
        <w:tc>
          <w:tcPr>
            <w:tcW w:w="7004" w:type="dxa"/>
            <w:vAlign w:val="center"/>
          </w:tcPr>
          <w:p w:rsidR="00DF4D58" w:rsidRPr="0045242C" w:rsidRDefault="00DF4D58" w:rsidP="002C665B">
            <w:pPr>
              <w:outlineLvl w:val="0"/>
            </w:pPr>
            <w:r w:rsidRPr="0045242C">
              <w:t>ТП-197 с. Межигірці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18</w:t>
            </w:r>
          </w:p>
        </w:tc>
        <w:tc>
          <w:tcPr>
            <w:tcW w:w="7004" w:type="dxa"/>
            <w:vAlign w:val="center"/>
          </w:tcPr>
          <w:p w:rsidR="00DF4D58" w:rsidRPr="0045242C" w:rsidRDefault="00DF4D58" w:rsidP="002C665B">
            <w:pPr>
              <w:outlineLvl w:val="0"/>
            </w:pPr>
            <w:r w:rsidRPr="0045242C">
              <w:t>ТП-208 с. Кінчаки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19</w:t>
            </w:r>
          </w:p>
        </w:tc>
        <w:tc>
          <w:tcPr>
            <w:tcW w:w="7004" w:type="dxa"/>
            <w:vAlign w:val="center"/>
          </w:tcPr>
          <w:p w:rsidR="00DF4D58" w:rsidRPr="0045242C" w:rsidRDefault="00DF4D58" w:rsidP="002C665B">
            <w:pPr>
              <w:outlineLvl w:val="0"/>
            </w:pPr>
            <w:r w:rsidRPr="0045242C">
              <w:t>ТП-376 с. Вишнів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20</w:t>
            </w:r>
          </w:p>
        </w:tc>
        <w:tc>
          <w:tcPr>
            <w:tcW w:w="7004" w:type="dxa"/>
            <w:vAlign w:val="center"/>
          </w:tcPr>
          <w:p w:rsidR="00DF4D58" w:rsidRPr="0045242C" w:rsidRDefault="00DF4D58" w:rsidP="002C665B">
            <w:pPr>
              <w:outlineLvl w:val="0"/>
            </w:pPr>
            <w:r w:rsidRPr="0045242C">
              <w:t>ТП-119 с. Воронів філії Північна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21</w:t>
            </w:r>
          </w:p>
        </w:tc>
        <w:tc>
          <w:tcPr>
            <w:tcW w:w="7004" w:type="dxa"/>
            <w:vAlign w:val="center"/>
          </w:tcPr>
          <w:p w:rsidR="00DF4D58" w:rsidRPr="0045242C" w:rsidRDefault="00DF4D58" w:rsidP="002C665B">
            <w:pPr>
              <w:outlineLvl w:val="0"/>
            </w:pPr>
            <w:r w:rsidRPr="0045242C">
              <w:t>ТП-40 м. Снятин філії Східна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lastRenderedPageBreak/>
              <w:t>22</w:t>
            </w:r>
          </w:p>
        </w:tc>
        <w:tc>
          <w:tcPr>
            <w:tcW w:w="7004" w:type="dxa"/>
            <w:vAlign w:val="center"/>
          </w:tcPr>
          <w:p w:rsidR="00DF4D58" w:rsidRPr="0045242C" w:rsidRDefault="00DF4D58" w:rsidP="002C665B">
            <w:pPr>
              <w:outlineLvl w:val="0"/>
            </w:pPr>
            <w:r w:rsidRPr="0045242C">
              <w:t>ТП-399 м. Снятин філії Східна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23</w:t>
            </w:r>
          </w:p>
        </w:tc>
        <w:tc>
          <w:tcPr>
            <w:tcW w:w="7004" w:type="dxa"/>
            <w:vAlign w:val="center"/>
          </w:tcPr>
          <w:p w:rsidR="00DF4D58" w:rsidRPr="0045242C" w:rsidRDefault="00DF4D58" w:rsidP="002C665B">
            <w:pPr>
              <w:outlineLvl w:val="0"/>
            </w:pPr>
            <w:r w:rsidRPr="0045242C">
              <w:t>ТП-271 с. Зібранівка філії Східна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24</w:t>
            </w:r>
          </w:p>
        </w:tc>
        <w:tc>
          <w:tcPr>
            <w:tcW w:w="7004" w:type="dxa"/>
            <w:vAlign w:val="center"/>
          </w:tcPr>
          <w:p w:rsidR="00DF4D58" w:rsidRPr="0045242C" w:rsidRDefault="00DF4D58" w:rsidP="002C665B">
            <w:pPr>
              <w:outlineLvl w:val="0"/>
            </w:pPr>
            <w:r w:rsidRPr="0045242C">
              <w:t>ТП-56 с. Русів філії Східна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25</w:t>
            </w:r>
          </w:p>
        </w:tc>
        <w:tc>
          <w:tcPr>
            <w:tcW w:w="7004" w:type="dxa"/>
            <w:vAlign w:val="center"/>
          </w:tcPr>
          <w:p w:rsidR="00DF4D58" w:rsidRPr="0045242C" w:rsidRDefault="00DF4D58" w:rsidP="002C665B">
            <w:pPr>
              <w:outlineLvl w:val="0"/>
            </w:pPr>
            <w:r w:rsidRPr="0045242C">
              <w:t>ТП-411 м. Тисмениця філії Центральна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26</w:t>
            </w:r>
          </w:p>
        </w:tc>
        <w:tc>
          <w:tcPr>
            <w:tcW w:w="7004" w:type="dxa"/>
            <w:vAlign w:val="center"/>
          </w:tcPr>
          <w:p w:rsidR="00DF4D58" w:rsidRPr="0045242C" w:rsidRDefault="00DF4D58" w:rsidP="002C665B">
            <w:pPr>
              <w:outlineLvl w:val="0"/>
            </w:pPr>
            <w:r w:rsidRPr="0045242C">
              <w:t>ТП-166 с. Липівка філії Центральна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27</w:t>
            </w:r>
          </w:p>
        </w:tc>
        <w:tc>
          <w:tcPr>
            <w:tcW w:w="7004" w:type="dxa"/>
            <w:vAlign w:val="center"/>
          </w:tcPr>
          <w:p w:rsidR="00DF4D58" w:rsidRPr="0045242C" w:rsidRDefault="00DF4D58" w:rsidP="002C665B">
            <w:pPr>
              <w:outlineLvl w:val="0"/>
            </w:pPr>
            <w:r w:rsidRPr="0045242C">
              <w:t>ТП-243 смт. Єзупіль філії Центральна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Pr>
                <w:spacing w:val="-1"/>
              </w:rPr>
              <w:t>28</w:t>
            </w:r>
          </w:p>
        </w:tc>
        <w:tc>
          <w:tcPr>
            <w:tcW w:w="7004" w:type="dxa"/>
            <w:vAlign w:val="center"/>
          </w:tcPr>
          <w:p w:rsidR="00DF4D58" w:rsidRPr="0045242C" w:rsidRDefault="00DF4D58" w:rsidP="002C665B">
            <w:pPr>
              <w:outlineLvl w:val="0"/>
            </w:pPr>
            <w:r w:rsidRPr="0045242C">
              <w:t>ТП-247 смт. Єзупіль філії Центральна</w:t>
            </w:r>
          </w:p>
        </w:tc>
        <w:tc>
          <w:tcPr>
            <w:tcW w:w="2060" w:type="dxa"/>
          </w:tcPr>
          <w:p w:rsidR="00DF4D58" w:rsidRPr="00667504" w:rsidRDefault="00DF4D58" w:rsidP="002C665B">
            <w:pPr>
              <w:jc w:val="center"/>
              <w:rPr>
                <w:spacing w:val="-1"/>
              </w:rPr>
            </w:pPr>
            <w:r>
              <w:rPr>
                <w:spacing w:val="-1"/>
              </w:rPr>
              <w:t>1</w:t>
            </w:r>
          </w:p>
        </w:tc>
      </w:tr>
      <w:tr w:rsidR="00DF4D58" w:rsidRPr="005748FF" w:rsidTr="002C665B">
        <w:trPr>
          <w:trHeight w:val="458"/>
        </w:trPr>
        <w:tc>
          <w:tcPr>
            <w:tcW w:w="9629" w:type="dxa"/>
            <w:gridSpan w:val="3"/>
            <w:vAlign w:val="center"/>
          </w:tcPr>
          <w:p w:rsidR="00DF4D58" w:rsidRPr="00667504" w:rsidRDefault="00DF4D58" w:rsidP="002C665B">
            <w:pPr>
              <w:jc w:val="center"/>
              <w:rPr>
                <w:b/>
                <w:spacing w:val="-1"/>
              </w:rPr>
            </w:pPr>
            <w:r w:rsidRPr="00FB18D0">
              <w:rPr>
                <w:b/>
              </w:rPr>
              <w:t>Технічне переоснащення</w:t>
            </w:r>
            <w:r>
              <w:rPr>
                <w:b/>
              </w:rPr>
              <w:t xml:space="preserve"> </w:t>
            </w:r>
            <w:r w:rsidRPr="00FB18D0">
              <w:rPr>
                <w:b/>
              </w:rPr>
              <w:t>ТП із заміною шафи та силового трансформатора на ТМГ-250/10(6)/0,4-У1, Д/Ун-11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1</w:t>
            </w:r>
          </w:p>
        </w:tc>
        <w:tc>
          <w:tcPr>
            <w:tcW w:w="7004" w:type="dxa"/>
            <w:vAlign w:val="center"/>
          </w:tcPr>
          <w:p w:rsidR="00DF4D58" w:rsidRPr="0045242C" w:rsidRDefault="00DF4D58" w:rsidP="002C665B">
            <w:pPr>
              <w:outlineLvl w:val="0"/>
              <w:rPr>
                <w:lang w:eastAsia="uk-UA"/>
              </w:rPr>
            </w:pPr>
            <w:r w:rsidRPr="0045242C">
              <w:t>ТП-372 с. Шепіт філії Карпатська</w:t>
            </w:r>
          </w:p>
        </w:tc>
        <w:tc>
          <w:tcPr>
            <w:tcW w:w="2060" w:type="dxa"/>
          </w:tcPr>
          <w:p w:rsidR="00DF4D58" w:rsidRPr="00667504" w:rsidRDefault="00DF4D58" w:rsidP="002C665B">
            <w:pPr>
              <w:jc w:val="center"/>
              <w:rPr>
                <w:spacing w:val="-1"/>
              </w:rP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2</w:t>
            </w:r>
          </w:p>
        </w:tc>
        <w:tc>
          <w:tcPr>
            <w:tcW w:w="7004" w:type="dxa"/>
            <w:vAlign w:val="center"/>
          </w:tcPr>
          <w:p w:rsidR="00DF4D58" w:rsidRPr="0045242C" w:rsidRDefault="00DF4D58" w:rsidP="002C665B">
            <w:pPr>
              <w:outlineLvl w:val="0"/>
            </w:pPr>
            <w:r w:rsidRPr="0045242C">
              <w:t>ТП-146 с. Гринівка філії Південна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3</w:t>
            </w:r>
          </w:p>
        </w:tc>
        <w:tc>
          <w:tcPr>
            <w:tcW w:w="7004" w:type="dxa"/>
            <w:vAlign w:val="center"/>
          </w:tcPr>
          <w:p w:rsidR="00DF4D58" w:rsidRPr="0045242C" w:rsidRDefault="00DF4D58" w:rsidP="002C665B">
            <w:pPr>
              <w:outlineLvl w:val="0"/>
            </w:pPr>
            <w:r w:rsidRPr="0045242C">
              <w:t>ТП-21 с. Ясенів-Пільний філії Східна</w:t>
            </w:r>
          </w:p>
        </w:tc>
        <w:tc>
          <w:tcPr>
            <w:tcW w:w="2060" w:type="dxa"/>
          </w:tcPr>
          <w:p w:rsidR="00DF4D58" w:rsidRPr="00667504" w:rsidRDefault="00DF4D58" w:rsidP="002C665B">
            <w:pPr>
              <w:jc w:val="center"/>
            </w:pPr>
            <w:r w:rsidRPr="00667504">
              <w:rPr>
                <w:spacing w:val="-1"/>
              </w:rPr>
              <w:t>1</w:t>
            </w:r>
          </w:p>
        </w:tc>
      </w:tr>
      <w:tr w:rsidR="00DF4D58" w:rsidRPr="005748FF" w:rsidTr="002C665B">
        <w:trPr>
          <w:trHeight w:val="458"/>
        </w:trPr>
        <w:tc>
          <w:tcPr>
            <w:tcW w:w="565" w:type="dxa"/>
            <w:vAlign w:val="center"/>
          </w:tcPr>
          <w:p w:rsidR="00DF4D58" w:rsidRPr="00667504" w:rsidRDefault="00DF4D58" w:rsidP="002C665B">
            <w:pPr>
              <w:jc w:val="center"/>
              <w:rPr>
                <w:spacing w:val="-1"/>
              </w:rPr>
            </w:pPr>
            <w:r w:rsidRPr="00667504">
              <w:rPr>
                <w:spacing w:val="-1"/>
              </w:rPr>
              <w:t>4</w:t>
            </w:r>
          </w:p>
        </w:tc>
        <w:tc>
          <w:tcPr>
            <w:tcW w:w="7004" w:type="dxa"/>
            <w:vAlign w:val="center"/>
          </w:tcPr>
          <w:p w:rsidR="00DF4D58" w:rsidRPr="0045242C" w:rsidRDefault="00DF4D58" w:rsidP="002C665B">
            <w:pPr>
              <w:outlineLvl w:val="0"/>
            </w:pPr>
            <w:r w:rsidRPr="0045242C">
              <w:t>ТП-275 с. Колодіївка філії Центральна</w:t>
            </w:r>
          </w:p>
        </w:tc>
        <w:tc>
          <w:tcPr>
            <w:tcW w:w="2060" w:type="dxa"/>
          </w:tcPr>
          <w:p w:rsidR="00DF4D58" w:rsidRPr="00667504" w:rsidRDefault="00DF4D58" w:rsidP="002C665B">
            <w:pPr>
              <w:jc w:val="center"/>
            </w:pPr>
            <w:r w:rsidRPr="00667504">
              <w:rPr>
                <w:spacing w:val="-1"/>
              </w:rPr>
              <w:t>1</w:t>
            </w:r>
          </w:p>
        </w:tc>
      </w:tr>
    </w:tbl>
    <w:p w:rsidR="00DF4D58" w:rsidRDefault="00DF4D58" w:rsidP="00DF4D58">
      <w:pPr>
        <w:pStyle w:val="Normal1"/>
        <w:shd w:val="clear" w:color="auto" w:fill="FFFFFF"/>
        <w:rPr>
          <w:szCs w:val="24"/>
          <w:lang w:val="uk-UA"/>
        </w:rPr>
      </w:pPr>
    </w:p>
    <w:p w:rsidR="00DF4D58" w:rsidRPr="00343FC8" w:rsidRDefault="00DF4D58" w:rsidP="00DF4D58">
      <w:pPr>
        <w:pStyle w:val="Normal1"/>
        <w:shd w:val="clear" w:color="auto" w:fill="FFFFFF"/>
        <w:rPr>
          <w:szCs w:val="24"/>
          <w:lang w:val="uk-UA"/>
        </w:rPr>
      </w:pPr>
      <w:r>
        <w:rPr>
          <w:szCs w:val="24"/>
          <w:lang w:val="en-US"/>
        </w:rPr>
        <w:t xml:space="preserve"> </w:t>
      </w:r>
      <w:r>
        <w:rPr>
          <w:szCs w:val="24"/>
          <w:lang w:val="uk-UA"/>
        </w:rPr>
        <w:t xml:space="preserve">від </w:t>
      </w:r>
      <w:r w:rsidRPr="00343FC8">
        <w:rPr>
          <w:szCs w:val="24"/>
          <w:lang w:val="uk-UA"/>
        </w:rPr>
        <w:t>З</w:t>
      </w:r>
      <w:r>
        <w:rPr>
          <w:szCs w:val="24"/>
          <w:lang w:val="uk-UA"/>
        </w:rPr>
        <w:t>амовника</w:t>
      </w:r>
      <w:r w:rsidRPr="00343FC8">
        <w:rPr>
          <w:szCs w:val="24"/>
          <w:lang w:val="uk-UA"/>
        </w:rPr>
        <w:t>:</w:t>
      </w:r>
      <w:r>
        <w:rPr>
          <w:szCs w:val="24"/>
          <w:lang w:val="uk-UA"/>
        </w:rPr>
        <w:t xml:space="preserve">                                                                 від Генпідрядника</w:t>
      </w:r>
      <w:r w:rsidRPr="00343FC8">
        <w:rPr>
          <w:szCs w:val="24"/>
          <w:lang w:val="uk-UA"/>
        </w:rPr>
        <w:t>:</w:t>
      </w:r>
    </w:p>
    <w:p w:rsidR="00DF4D58" w:rsidRPr="00343FC8" w:rsidRDefault="00DF4D58" w:rsidP="00DF4D58">
      <w:pPr>
        <w:tabs>
          <w:tab w:val="left" w:pos="6070"/>
        </w:tabs>
        <w:rPr>
          <w:b/>
        </w:rPr>
      </w:pPr>
      <w:r>
        <w:rPr>
          <w:b/>
          <w:lang w:val="en-US"/>
        </w:rPr>
        <w:t xml:space="preserve"> </w:t>
      </w:r>
      <w:r w:rsidRPr="00343FC8">
        <w:rPr>
          <w:b/>
        </w:rPr>
        <w:t>Заступник Голови Правління</w:t>
      </w:r>
      <w:r>
        <w:rPr>
          <w:b/>
        </w:rPr>
        <w:t xml:space="preserve">                                  </w:t>
      </w:r>
    </w:p>
    <w:p w:rsidR="00DF4D58" w:rsidRPr="00316413" w:rsidRDefault="00DF4D58" w:rsidP="00DF4D58">
      <w:pPr>
        <w:rPr>
          <w:b/>
        </w:rPr>
      </w:pPr>
    </w:p>
    <w:p w:rsidR="00DF4D58" w:rsidRDefault="00DF4D58" w:rsidP="00DF4D58">
      <w:r>
        <w:t>___</w:t>
      </w:r>
      <w:r w:rsidRPr="000C33F6">
        <w:t>___________</w:t>
      </w:r>
      <w:r w:rsidRPr="00343FC8">
        <w:t xml:space="preserve"> </w:t>
      </w:r>
      <w:r w:rsidRPr="00343FC8">
        <w:rPr>
          <w:b/>
        </w:rPr>
        <w:t>В</w:t>
      </w:r>
      <w:r>
        <w:rPr>
          <w:b/>
        </w:rPr>
        <w:t>асиль</w:t>
      </w:r>
      <w:r w:rsidRPr="00343FC8">
        <w:rPr>
          <w:b/>
        </w:rPr>
        <w:t xml:space="preserve"> К</w:t>
      </w:r>
      <w:r>
        <w:rPr>
          <w:b/>
        </w:rPr>
        <w:t xml:space="preserve">ОСТЮК                         </w:t>
      </w:r>
      <w:r>
        <w:t xml:space="preserve">   </w:t>
      </w:r>
    </w:p>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DF4D58" w:rsidRDefault="00DF4D58" w:rsidP="00DF4D58"/>
    <w:p w:rsidR="00472901" w:rsidRDefault="00472901" w:rsidP="00472901"/>
    <w:p w:rsidR="00472901" w:rsidRDefault="00472901" w:rsidP="00472901"/>
    <w:p w:rsidR="00472901" w:rsidRDefault="00472901" w:rsidP="00472901"/>
    <w:p w:rsidR="001219B2" w:rsidRDefault="00472901" w:rsidP="00472901">
      <w:r>
        <w:t xml:space="preserve">                                                                                                                                                </w:t>
      </w:r>
    </w:p>
    <w:p w:rsidR="00AC7F50" w:rsidRPr="00F63908" w:rsidRDefault="00AC7F50" w:rsidP="00AC7F50">
      <w:pPr>
        <w:tabs>
          <w:tab w:val="left" w:pos="7899"/>
        </w:tabs>
        <w:jc w:val="right"/>
      </w:pPr>
      <w:r w:rsidRPr="00F63908">
        <w:t xml:space="preserve">Додаток </w:t>
      </w:r>
      <w:r w:rsidR="001219B2">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lastRenderedPageBreak/>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1219B2">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1219B2" w:rsidRDefault="001219B2"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1219B2">
        <w:t>7</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DF4D58" w:rsidRPr="006937AD" w:rsidTr="003A2040">
        <w:tc>
          <w:tcPr>
            <w:tcW w:w="562" w:type="dxa"/>
            <w:vAlign w:val="center"/>
          </w:tcPr>
          <w:p w:rsidR="00DF4D58" w:rsidRPr="00375E9F" w:rsidRDefault="00DF4D58" w:rsidP="00DF4D58">
            <w:pPr>
              <w:jc w:val="center"/>
              <w:rPr>
                <w:lang w:eastAsia="uk-UA"/>
              </w:rPr>
            </w:pPr>
            <w:r w:rsidRPr="00375E9F">
              <w:rPr>
                <w:lang w:eastAsia="uk-UA"/>
              </w:rPr>
              <w:t>1</w:t>
            </w:r>
          </w:p>
        </w:tc>
        <w:tc>
          <w:tcPr>
            <w:tcW w:w="6521" w:type="dxa"/>
            <w:vAlign w:val="center"/>
          </w:tcPr>
          <w:p w:rsidR="00DF4D58" w:rsidRPr="00375E9F" w:rsidRDefault="00DF4D58" w:rsidP="00DF4D58">
            <w:pPr>
              <w:outlineLvl w:val="0"/>
              <w:rPr>
                <w:lang w:eastAsia="uk-UA"/>
              </w:rPr>
            </w:pPr>
            <w:r w:rsidRPr="00375E9F">
              <w:t>Технічне переоснащення ТП із заміною шафи та силового трансформатора на</w:t>
            </w:r>
            <w:r w:rsidRPr="00375E9F">
              <w:rPr>
                <w:spacing w:val="-3"/>
              </w:rPr>
              <w:t xml:space="preserve"> </w:t>
            </w:r>
            <w:r w:rsidRPr="00375E9F">
              <w:t>ТМГ- 100/10(6)/0,4-У1, У/Zn-11</w:t>
            </w:r>
          </w:p>
        </w:tc>
        <w:tc>
          <w:tcPr>
            <w:tcW w:w="1276" w:type="dxa"/>
            <w:vAlign w:val="center"/>
          </w:tcPr>
          <w:p w:rsidR="00DF4D58" w:rsidRPr="00375E9F" w:rsidRDefault="00DF4D58" w:rsidP="00DF4D58">
            <w:pPr>
              <w:jc w:val="center"/>
              <w:rPr>
                <w:lang w:eastAsia="uk-UA"/>
              </w:rPr>
            </w:pPr>
            <w:r w:rsidRPr="00375E9F">
              <w:rPr>
                <w:lang w:eastAsia="uk-UA"/>
              </w:rPr>
              <w:t>шт.</w:t>
            </w:r>
          </w:p>
        </w:tc>
        <w:tc>
          <w:tcPr>
            <w:tcW w:w="1371" w:type="dxa"/>
            <w:vAlign w:val="center"/>
          </w:tcPr>
          <w:p w:rsidR="00DF4D58" w:rsidRPr="00375E9F" w:rsidRDefault="00DF4D58" w:rsidP="00DF4D58">
            <w:pPr>
              <w:jc w:val="center"/>
              <w:rPr>
                <w:lang w:eastAsia="uk-UA"/>
              </w:rPr>
            </w:pPr>
            <w:r w:rsidRPr="00375E9F">
              <w:rPr>
                <w:lang w:eastAsia="uk-UA"/>
              </w:rPr>
              <w:t xml:space="preserve">28 </w:t>
            </w:r>
          </w:p>
        </w:tc>
      </w:tr>
      <w:tr w:rsidR="00DF4D58" w:rsidRPr="006937AD" w:rsidTr="003A2040">
        <w:tc>
          <w:tcPr>
            <w:tcW w:w="562" w:type="dxa"/>
            <w:vAlign w:val="center"/>
          </w:tcPr>
          <w:p w:rsidR="00DF4D58" w:rsidRPr="00375E9F" w:rsidRDefault="00DF4D58" w:rsidP="00DF4D58">
            <w:pPr>
              <w:jc w:val="center"/>
              <w:rPr>
                <w:lang w:eastAsia="uk-UA"/>
              </w:rPr>
            </w:pPr>
            <w:r w:rsidRPr="00375E9F">
              <w:rPr>
                <w:lang w:eastAsia="uk-UA"/>
              </w:rPr>
              <w:t>2</w:t>
            </w:r>
          </w:p>
        </w:tc>
        <w:tc>
          <w:tcPr>
            <w:tcW w:w="6521" w:type="dxa"/>
            <w:vAlign w:val="center"/>
          </w:tcPr>
          <w:p w:rsidR="00DF4D58" w:rsidRPr="00375E9F" w:rsidRDefault="00DF4D58" w:rsidP="00DF4D58">
            <w:pPr>
              <w:outlineLvl w:val="0"/>
            </w:pPr>
            <w:r w:rsidRPr="00375E9F">
              <w:t>Технічне переоснащення ТП із заміною шафи та силового трансформатора на ТМГ-250/10(6)/0,4-У1, Д/Ун-11</w:t>
            </w:r>
          </w:p>
        </w:tc>
        <w:tc>
          <w:tcPr>
            <w:tcW w:w="1276" w:type="dxa"/>
            <w:vAlign w:val="center"/>
          </w:tcPr>
          <w:p w:rsidR="00DF4D58" w:rsidRPr="00375E9F" w:rsidRDefault="00DF4D58" w:rsidP="00DF4D58">
            <w:pPr>
              <w:jc w:val="center"/>
              <w:rPr>
                <w:lang w:eastAsia="uk-UA"/>
              </w:rPr>
            </w:pPr>
            <w:r w:rsidRPr="00375E9F">
              <w:rPr>
                <w:lang w:eastAsia="uk-UA"/>
              </w:rPr>
              <w:t>шт.</w:t>
            </w:r>
          </w:p>
        </w:tc>
        <w:tc>
          <w:tcPr>
            <w:tcW w:w="1371" w:type="dxa"/>
            <w:vAlign w:val="center"/>
          </w:tcPr>
          <w:p w:rsidR="00DF4D58" w:rsidRPr="00375E9F" w:rsidRDefault="00DF4D58" w:rsidP="00DF4D58">
            <w:pPr>
              <w:jc w:val="center"/>
              <w:rPr>
                <w:lang w:eastAsia="uk-UA"/>
              </w:rPr>
            </w:pPr>
            <w:r w:rsidRPr="00375E9F">
              <w:rPr>
                <w:lang w:eastAsia="uk-UA"/>
              </w:rPr>
              <w:t>4</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F4D58" w:rsidRPr="00F0179B" w:rsidRDefault="00DF4D58" w:rsidP="00DF4D58">
      <w:pPr>
        <w:jc w:val="right"/>
        <w:rPr>
          <w:b/>
          <w:bCs/>
        </w:rPr>
      </w:pPr>
      <w:r w:rsidRPr="00F0179B">
        <w:rPr>
          <w:b/>
          <w:bCs/>
        </w:rPr>
        <w:t>Додаток №4</w:t>
      </w:r>
    </w:p>
    <w:p w:rsidR="00DF4D58" w:rsidRPr="00F0179B" w:rsidRDefault="00DF4D58" w:rsidP="00DF4D58">
      <w:pPr>
        <w:jc w:val="center"/>
        <w:rPr>
          <w:b/>
          <w:bCs/>
        </w:rPr>
      </w:pPr>
      <w:r w:rsidRPr="00F0179B">
        <w:rPr>
          <w:b/>
          <w:bCs/>
        </w:rPr>
        <w:t>Необхідні документи від учасника</w:t>
      </w:r>
    </w:p>
    <w:p w:rsidR="00DF4D58" w:rsidRPr="00F0179B" w:rsidRDefault="00DF4D58" w:rsidP="00DF4D5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DF4D58" w:rsidRPr="00F0179B" w:rsidRDefault="00DF4D58" w:rsidP="00DF4D5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DF4D58" w:rsidRPr="00F0179B" w:rsidRDefault="00DF4D58" w:rsidP="00DF4D58">
      <w:pPr>
        <w:tabs>
          <w:tab w:val="left" w:pos="540"/>
        </w:tabs>
        <w:rPr>
          <w:b/>
        </w:rPr>
      </w:pPr>
    </w:p>
    <w:p w:rsidR="00DF4D58" w:rsidRPr="00F0179B" w:rsidRDefault="00DF4D58" w:rsidP="00DF4D58">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DF4D58" w:rsidRPr="00F0179B" w:rsidRDefault="00DF4D58" w:rsidP="00DF4D58">
      <w:pPr>
        <w:tabs>
          <w:tab w:val="left" w:pos="-1440"/>
          <w:tab w:val="left" w:pos="-720"/>
          <w:tab w:val="left" w:pos="387"/>
          <w:tab w:val="left" w:pos="532"/>
        </w:tabs>
        <w:ind w:firstLine="567"/>
        <w:jc w:val="both"/>
      </w:pPr>
      <w:r w:rsidRPr="00F0179B">
        <w:t>Основний об’єкт – класу наслідків СС2.</w:t>
      </w:r>
    </w:p>
    <w:p w:rsidR="00DF4D58" w:rsidRPr="00F0179B" w:rsidRDefault="00DF4D58" w:rsidP="00DF4D58">
      <w:pPr>
        <w:shd w:val="clear" w:color="auto" w:fill="FFFFFF"/>
        <w:ind w:right="1"/>
        <w:rPr>
          <w:b/>
          <w:lang w:val="ru-RU"/>
        </w:rPr>
      </w:pPr>
    </w:p>
    <w:p w:rsidR="00DF4D58" w:rsidRPr="00F0179B" w:rsidRDefault="00DF4D58" w:rsidP="00DF4D58">
      <w:pPr>
        <w:shd w:val="clear" w:color="auto" w:fill="FFFFFF"/>
        <w:ind w:right="1"/>
        <w:rPr>
          <w:b/>
          <w:lang w:val="ru-RU"/>
        </w:rPr>
      </w:pPr>
      <w:r w:rsidRPr="00F0179B">
        <w:rPr>
          <w:b/>
          <w:lang w:val="ru-RU"/>
        </w:rPr>
        <w:t>Вимоги до розрахунку ціни пропозиції процедури закупівлі.</w:t>
      </w:r>
    </w:p>
    <w:p w:rsidR="00DF4D58" w:rsidRPr="00F0179B" w:rsidRDefault="00DF4D58" w:rsidP="00DF4D58">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DF4D58" w:rsidRPr="00F0179B" w:rsidRDefault="00DF4D58" w:rsidP="00DF4D58">
      <w:pPr>
        <w:numPr>
          <w:ilvl w:val="2"/>
          <w:numId w:val="7"/>
        </w:numPr>
        <w:shd w:val="clear" w:color="auto" w:fill="FFFFFF"/>
        <w:tabs>
          <w:tab w:val="left" w:pos="9666"/>
        </w:tabs>
        <w:spacing w:after="200"/>
        <w:contextualSpacing/>
        <w:jc w:val="both"/>
      </w:pPr>
      <w:r w:rsidRPr="00F0179B">
        <w:t>прямі витрати;</w:t>
      </w:r>
    </w:p>
    <w:p w:rsidR="00DF4D58" w:rsidRPr="00F0179B" w:rsidRDefault="00DF4D58" w:rsidP="00DF4D58">
      <w:pPr>
        <w:numPr>
          <w:ilvl w:val="2"/>
          <w:numId w:val="7"/>
        </w:numPr>
        <w:shd w:val="clear" w:color="auto" w:fill="FFFFFF"/>
        <w:tabs>
          <w:tab w:val="left" w:pos="9666"/>
        </w:tabs>
        <w:spacing w:after="200"/>
        <w:contextualSpacing/>
        <w:jc w:val="both"/>
      </w:pPr>
      <w:r w:rsidRPr="00F0179B">
        <w:t>загальновиробничі витрати;</w:t>
      </w:r>
    </w:p>
    <w:p w:rsidR="00DF4D58" w:rsidRPr="00F0179B" w:rsidRDefault="00DF4D58" w:rsidP="00DF4D58">
      <w:pPr>
        <w:numPr>
          <w:ilvl w:val="2"/>
          <w:numId w:val="7"/>
        </w:numPr>
        <w:shd w:val="clear" w:color="auto" w:fill="FFFFFF"/>
        <w:tabs>
          <w:tab w:val="left" w:pos="9666"/>
        </w:tabs>
        <w:spacing w:after="200"/>
        <w:contextualSpacing/>
        <w:jc w:val="both"/>
      </w:pPr>
      <w:r w:rsidRPr="00F0179B">
        <w:t>супутні витрати на виконання робіт,</w:t>
      </w:r>
    </w:p>
    <w:p w:rsidR="00DF4D58" w:rsidRPr="00F0179B" w:rsidRDefault="00DF4D58" w:rsidP="00DF4D58">
      <w:pPr>
        <w:numPr>
          <w:ilvl w:val="2"/>
          <w:numId w:val="7"/>
        </w:numPr>
        <w:shd w:val="clear" w:color="auto" w:fill="FFFFFF"/>
        <w:tabs>
          <w:tab w:val="left" w:pos="9666"/>
        </w:tabs>
        <w:spacing w:after="200"/>
        <w:contextualSpacing/>
        <w:jc w:val="both"/>
      </w:pPr>
      <w:r w:rsidRPr="00F0179B">
        <w:t>прибуток,</w:t>
      </w:r>
    </w:p>
    <w:p w:rsidR="00DF4D58" w:rsidRPr="00F0179B" w:rsidRDefault="00DF4D58" w:rsidP="00DF4D58">
      <w:pPr>
        <w:numPr>
          <w:ilvl w:val="2"/>
          <w:numId w:val="7"/>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DF4D58" w:rsidRPr="00F0179B" w:rsidRDefault="00DF4D58" w:rsidP="00DF4D58">
      <w:pPr>
        <w:numPr>
          <w:ilvl w:val="2"/>
          <w:numId w:val="7"/>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DF4D58" w:rsidRPr="00F0179B" w:rsidRDefault="00DF4D58" w:rsidP="00DF4D58">
      <w:pPr>
        <w:numPr>
          <w:ilvl w:val="2"/>
          <w:numId w:val="7"/>
        </w:numPr>
        <w:shd w:val="clear" w:color="auto" w:fill="FFFFFF"/>
        <w:tabs>
          <w:tab w:val="left" w:pos="9666"/>
        </w:tabs>
        <w:spacing w:after="200"/>
        <w:contextualSpacing/>
        <w:jc w:val="both"/>
      </w:pPr>
      <w:r w:rsidRPr="00F0179B">
        <w:t>податок на додану вартість.</w:t>
      </w:r>
    </w:p>
    <w:p w:rsidR="00DF4D58" w:rsidRPr="00F0179B" w:rsidRDefault="00DF4D58" w:rsidP="00DF4D58">
      <w:pPr>
        <w:ind w:firstLine="567"/>
        <w:jc w:val="both"/>
        <w:rPr>
          <w:u w:val="single"/>
          <w:lang w:val="ru-RU"/>
        </w:rPr>
      </w:pPr>
      <w:r w:rsidRPr="00F0179B">
        <w:rPr>
          <w:u w:val="single"/>
          <w:lang w:val="ru-RU"/>
        </w:rPr>
        <w:t>Норматив розрахунку прямих витрат:</w:t>
      </w:r>
    </w:p>
    <w:p w:rsidR="00DF4D58" w:rsidRPr="00F0179B" w:rsidRDefault="00DF4D58" w:rsidP="00DF4D58">
      <w:pPr>
        <w:numPr>
          <w:ilvl w:val="0"/>
          <w:numId w:val="8"/>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DF4D58" w:rsidRPr="00F0179B" w:rsidRDefault="00DF4D58" w:rsidP="00DF4D58">
      <w:pPr>
        <w:numPr>
          <w:ilvl w:val="0"/>
          <w:numId w:val="8"/>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DF4D58" w:rsidRPr="00F0179B" w:rsidRDefault="00DF4D58" w:rsidP="00DF4D58">
      <w:pPr>
        <w:numPr>
          <w:ilvl w:val="0"/>
          <w:numId w:val="8"/>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DF4D58" w:rsidRPr="00F0179B" w:rsidRDefault="00DF4D58" w:rsidP="00DF4D58">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DF4D58" w:rsidRPr="00F0179B" w:rsidRDefault="00DF4D58" w:rsidP="00DF4D58">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DF4D58" w:rsidRPr="00F0179B" w:rsidRDefault="00DF4D58" w:rsidP="00DF4D58">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DF4D58" w:rsidRPr="00F0179B" w:rsidRDefault="00DF4D58" w:rsidP="00DF4D58">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DF4D58" w:rsidRPr="00F0179B" w:rsidRDefault="00DF4D58" w:rsidP="00DF4D58">
      <w:pPr>
        <w:shd w:val="clear" w:color="auto" w:fill="FFFFFF"/>
        <w:ind w:right="1" w:firstLine="540"/>
        <w:jc w:val="both"/>
      </w:pPr>
    </w:p>
    <w:p w:rsidR="00DF4D58" w:rsidRPr="004A4E0B"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F6E9C">
        <w:rPr>
          <w:b/>
        </w:rPr>
        <w:t>Технічне переоснащення ТП із заміною шафи та силового транс</w:t>
      </w:r>
      <w:r>
        <w:rPr>
          <w:b/>
        </w:rPr>
        <w:t xml:space="preserve">форматора на ТМГ-100 10(6)/0,4-У1, </w:t>
      </w:r>
      <w:r w:rsidRPr="004A4E0B">
        <w:rPr>
          <w:b/>
        </w:rPr>
        <w:t>У/Zn-11</w:t>
      </w:r>
      <w:r>
        <w:rPr>
          <w:b/>
        </w:rPr>
        <w:t xml:space="preserve"> </w:t>
      </w:r>
      <w:r w:rsidRPr="00FA4D32">
        <w:t>(28 шт)</w:t>
      </w:r>
    </w:p>
    <w:p w:rsidR="00DF4D58"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20"/>
        <w:gridCol w:w="6321"/>
        <w:gridCol w:w="1276"/>
        <w:gridCol w:w="1417"/>
      </w:tblGrid>
      <w:tr w:rsidR="00DF4D58" w:rsidTr="002C665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  Кількість</w:t>
            </w:r>
          </w:p>
        </w:tc>
      </w:tr>
      <w:tr w:rsidR="00DF4D58" w:rsidTr="002C665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lastRenderedPageBreak/>
              <w:t>1</w:t>
            </w:r>
          </w:p>
        </w:tc>
        <w:tc>
          <w:tcPr>
            <w:tcW w:w="6321"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650A67" w:rsidRDefault="00DF4D58" w:rsidP="002C665B">
            <w:pPr>
              <w:jc w:val="center"/>
              <w:rPr>
                <w:b/>
                <w:i/>
                <w:color w:val="000000"/>
              </w:rPr>
            </w:pPr>
            <w:r w:rsidRPr="00650A67">
              <w:rPr>
                <w:b/>
                <w:i/>
                <w:color w:val="000000"/>
              </w:rPr>
              <w:t>Установка ЩТП-100 кВА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r>
              <w:rPr>
                <w:color w:val="000000"/>
                <w:u w:val="single"/>
              </w:rPr>
              <w:t> </w:t>
            </w:r>
          </w:p>
        </w:tc>
      </w:tr>
      <w:tr w:rsidR="00DF4D58" w:rsidTr="002C665B">
        <w:trPr>
          <w:trHeight w:val="27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w:t>
            </w:r>
          </w:p>
        </w:tc>
        <w:tc>
          <w:tcPr>
            <w:tcW w:w="6321" w:type="dxa"/>
            <w:tcBorders>
              <w:top w:val="single" w:sz="4" w:space="0" w:color="auto"/>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Підвішування проводів [3 проводи при 10</w:t>
            </w:r>
            <w:r>
              <w:rPr>
                <w:color w:val="000000"/>
              </w:rPr>
              <w:br/>
              <w:t>опорах на 1 км лінії] в ненаселеній місцевості вручну,</w:t>
            </w:r>
            <w:r>
              <w:rPr>
                <w:color w:val="000000"/>
              </w:rPr>
              <w:br/>
              <w:t xml:space="preserve">перерізом проводів понад 35 мм2 для ВЛ 6-10 кВ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0,005</w:t>
            </w:r>
          </w:p>
        </w:tc>
      </w:tr>
      <w:tr w:rsidR="00DF4D58" w:rsidTr="002C665B">
        <w:trPr>
          <w:trHeight w:val="558"/>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0,02</w:t>
            </w:r>
          </w:p>
        </w:tc>
      </w:tr>
      <w:tr w:rsidR="00DF4D58" w:rsidTr="002C665B">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3</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опоpа</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r>
      <w:tr w:rsidR="00DF4D58" w:rsidTr="002C665B">
        <w:trPr>
          <w:trHeight w:val="84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4</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Установлення комплектних</w:t>
            </w:r>
            <w:r>
              <w:rPr>
                <w:color w:val="000000"/>
              </w:rPr>
              <w:br/>
              <w:t>трансформаторних підстанцій потужністю до 250 кВА,</w:t>
            </w:r>
            <w:r>
              <w:rPr>
                <w:color w:val="000000"/>
              </w:rPr>
              <w:br/>
              <w:t xml:space="preserve">будівельні роботи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841"/>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5</w:t>
            </w:r>
          </w:p>
        </w:tc>
        <w:tc>
          <w:tcPr>
            <w:tcW w:w="6321" w:type="dxa"/>
            <w:tcBorders>
              <w:top w:val="nil"/>
              <w:left w:val="nil"/>
              <w:bottom w:val="single" w:sz="4" w:space="0" w:color="auto"/>
              <w:right w:val="single" w:sz="4" w:space="0" w:color="auto"/>
            </w:tcBorders>
            <w:shd w:val="clear" w:color="auto" w:fill="auto"/>
            <w:hideMark/>
          </w:tcPr>
          <w:p w:rsidR="00DF4D58" w:rsidRPr="00BC521D" w:rsidRDefault="00DF4D58" w:rsidP="002C665B">
            <w:pPr>
              <w:rPr>
                <w:color w:val="000000"/>
                <w:lang w:val="en-US"/>
              </w:rPr>
            </w:pPr>
            <w:r>
              <w:rPr>
                <w:color w:val="000000"/>
              </w:rPr>
              <w:t>(Демонтаж) Установлення комплектних</w:t>
            </w:r>
            <w:r>
              <w:rPr>
                <w:color w:val="000000"/>
              </w:rPr>
              <w:br/>
              <w:t>трансформаторних підстанцій потужністю до 250 кВА,</w:t>
            </w:r>
            <w:r>
              <w:rPr>
                <w:color w:val="000000"/>
              </w:rPr>
              <w:br/>
              <w:t xml:space="preserve">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56"/>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6</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Установлення комплектних трансформаторних</w:t>
            </w:r>
            <w:r>
              <w:rPr>
                <w:color w:val="000000"/>
              </w:rPr>
              <w:br/>
              <w:t xml:space="preserve">підстанцій потужністю до 250 кВА, 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7</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Пiдвiшування самонесучого iзольованого провода на</w:t>
            </w:r>
            <w:r>
              <w:rPr>
                <w:color w:val="000000"/>
              </w:rPr>
              <w:br/>
              <w:t>опорах</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0,12</w:t>
            </w:r>
          </w:p>
        </w:tc>
      </w:tr>
      <w:tr w:rsidR="00DF4D58" w:rsidTr="002C665B">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BC521D" w:rsidRDefault="00DF4D58" w:rsidP="002C665B">
            <w:pPr>
              <w:jc w:val="center"/>
              <w:rPr>
                <w:i/>
                <w:color w:val="000000"/>
              </w:rPr>
            </w:pPr>
            <w:r w:rsidRPr="00BC521D">
              <w:rPr>
                <w:i/>
                <w:color w:val="000000"/>
              </w:rPr>
              <w:t>Заземлення</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8</w:t>
            </w:r>
          </w:p>
        </w:tc>
        <w:tc>
          <w:tcPr>
            <w:tcW w:w="6321" w:type="dxa"/>
            <w:tcBorders>
              <w:top w:val="nil"/>
              <w:left w:val="nil"/>
              <w:bottom w:val="single" w:sz="4" w:space="0" w:color="auto"/>
              <w:right w:val="single" w:sz="4" w:space="0" w:color="auto"/>
            </w:tcBorders>
            <w:shd w:val="clear" w:color="auto" w:fill="auto"/>
            <w:hideMark/>
          </w:tcPr>
          <w:p w:rsidR="00DF4D58" w:rsidRPr="00BC521D" w:rsidRDefault="00DF4D58" w:rsidP="002C665B">
            <w:pPr>
              <w:rPr>
                <w:color w:val="000000"/>
                <w:lang w:val="en-US"/>
              </w:rPr>
            </w:pPr>
            <w:r>
              <w:rPr>
                <w:color w:val="000000"/>
              </w:rPr>
              <w:t>Розробка ґрунту вручну в траншеях глибиною до 2 м без</w:t>
            </w:r>
            <w:r>
              <w:rPr>
                <w:color w:val="000000"/>
              </w:rPr>
              <w:br/>
              <w:t xml:space="preserve">кріплень з укосами, група ґрунтів </w:t>
            </w:r>
            <w:r>
              <w:rPr>
                <w:color w:val="000000"/>
                <w:lang w:val="en-US"/>
              </w:rPr>
              <w:t>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60</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9</w:t>
            </w:r>
          </w:p>
        </w:tc>
        <w:tc>
          <w:tcPr>
            <w:tcW w:w="6321" w:type="dxa"/>
            <w:tcBorders>
              <w:top w:val="nil"/>
              <w:left w:val="nil"/>
              <w:bottom w:val="single" w:sz="4" w:space="0" w:color="auto"/>
              <w:right w:val="single" w:sz="4" w:space="0" w:color="auto"/>
            </w:tcBorders>
            <w:shd w:val="clear" w:color="auto" w:fill="auto"/>
            <w:hideMark/>
          </w:tcPr>
          <w:p w:rsidR="00DF4D58" w:rsidRPr="00BC521D" w:rsidRDefault="00DF4D58" w:rsidP="002C665B">
            <w:pPr>
              <w:rPr>
                <w:color w:val="000000"/>
                <w:lang w:val="en-US"/>
              </w:rPr>
            </w:pPr>
            <w:r>
              <w:rPr>
                <w:color w:val="000000"/>
              </w:rPr>
              <w:t>Засипка вручну траншей, пазух котлованів і ям, група</w:t>
            </w:r>
            <w:r>
              <w:rPr>
                <w:color w:val="000000"/>
              </w:rPr>
              <w:br/>
              <w:t xml:space="preserve">ґрунтів </w:t>
            </w:r>
            <w:r>
              <w:rPr>
                <w:color w:val="000000"/>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60</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10</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Провідник заземлюючий відкрито по будівельних</w:t>
            </w:r>
            <w:r>
              <w:rPr>
                <w:color w:val="000000"/>
              </w:rPr>
              <w:br/>
              <w:t>основах з круглої сталі діаметром 8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18</w:t>
            </w:r>
          </w:p>
        </w:tc>
      </w:tr>
      <w:tr w:rsidR="00DF4D58" w:rsidTr="002C665B">
        <w:trPr>
          <w:trHeight w:val="360"/>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11</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Заземлювач вертикальний з круглої сталі діаметром 16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12</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Заземлювач горизонтальний у траншеї зі сталі круглої,</w:t>
            </w:r>
            <w:r>
              <w:rPr>
                <w:color w:val="000000"/>
              </w:rPr>
              <w:br/>
              <w:t>діаметр 12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33</w:t>
            </w:r>
          </w:p>
        </w:tc>
      </w:tr>
      <w:tr w:rsidR="00DF4D58" w:rsidTr="002C665B">
        <w:trPr>
          <w:trHeight w:val="558"/>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13</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66"/>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14</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9</w:t>
            </w:r>
          </w:p>
        </w:tc>
      </w:tr>
      <w:tr w:rsidR="00DF4D58" w:rsidTr="002C665B">
        <w:trPr>
          <w:trHeight w:val="546"/>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15</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BC521D" w:rsidRDefault="00DF4D58" w:rsidP="002C665B">
            <w:pPr>
              <w:jc w:val="center"/>
              <w:rPr>
                <w:i/>
                <w:color w:val="000000"/>
              </w:rPr>
            </w:pPr>
            <w:r w:rsidRPr="00BC521D">
              <w:rPr>
                <w:i/>
                <w:color w:val="000000"/>
              </w:rPr>
              <w:t>Встановлення трансформатора 100 кВА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r>
      <w:tr w:rsidR="00DF4D58" w:rsidTr="002C665B">
        <w:trPr>
          <w:trHeight w:val="548"/>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16</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Монтаж трансформатора силового, автотрансформатора або масляного реактора, маса до1 т</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17</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Монтаж ізолятора опорного напругою до 10 кВ, 2 точки</w:t>
            </w:r>
            <w:r>
              <w:rPr>
                <w:color w:val="000000"/>
              </w:rPr>
              <w:br/>
              <w:t>кріплення</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8</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18</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Лічильник трифазний, що установлюється на готовій</w:t>
            </w:r>
            <w:r>
              <w:rPr>
                <w:color w:val="000000"/>
              </w:rPr>
              <w:br/>
              <w:t>основі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19</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Конструкції металеві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0,05</w:t>
            </w:r>
          </w:p>
        </w:tc>
      </w:tr>
    </w:tbl>
    <w:p w:rsidR="00DF4D58" w:rsidRPr="00AF628D"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DF4D58" w:rsidRDefault="00DF4D58" w:rsidP="00DF4D58">
      <w:pPr>
        <w:rPr>
          <w:lang w:val="ru-RU"/>
        </w:rPr>
      </w:pPr>
      <w:r w:rsidRPr="00F0179B">
        <w:rPr>
          <w:lang w:val="ru-RU"/>
        </w:rPr>
        <w:t>2. Перелік матеріальних ресурсів та устаткування.</w:t>
      </w:r>
    </w:p>
    <w:p w:rsidR="00DF4D58" w:rsidRDefault="00DF4D58" w:rsidP="00DF4D58">
      <w:pPr>
        <w:rPr>
          <w:lang w:val="ru-RU"/>
        </w:rPr>
      </w:pPr>
    </w:p>
    <w:tbl>
      <w:tblPr>
        <w:tblW w:w="9634" w:type="dxa"/>
        <w:tblInd w:w="113" w:type="dxa"/>
        <w:tblLook w:val="04A0" w:firstRow="1" w:lastRow="0" w:firstColumn="1" w:lastColumn="0" w:noHBand="0" w:noVBand="1"/>
      </w:tblPr>
      <w:tblGrid>
        <w:gridCol w:w="620"/>
        <w:gridCol w:w="6321"/>
        <w:gridCol w:w="1276"/>
        <w:gridCol w:w="1417"/>
      </w:tblGrid>
      <w:tr w:rsidR="00DF4D58" w:rsidTr="002C665B">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Найменування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Одиниця </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Кількість</w:t>
            </w:r>
          </w:p>
        </w:tc>
      </w:tr>
      <w:tr w:rsidR="00DF4D58" w:rsidTr="002C665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0,005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Електроди, діаметр </w:t>
            </w:r>
            <w:r>
              <w:rPr>
                <w:color w:val="000000"/>
                <w:lang w:val="en-US"/>
              </w:rPr>
              <w:t>4</w:t>
            </w:r>
            <w:r>
              <w:rPr>
                <w:color w:val="000000"/>
              </w:rPr>
              <w:t xml:space="preserve">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BF4632" w:rsidRDefault="00DF4D58" w:rsidP="002C665B">
            <w:pPr>
              <w:jc w:val="center"/>
              <w:rPr>
                <w:color w:val="000000"/>
                <w:lang w:val="en-US"/>
              </w:rPr>
            </w:pPr>
            <w:r>
              <w:rPr>
                <w:color w:val="000000"/>
              </w:rPr>
              <w:t>0,002</w:t>
            </w:r>
            <w:r>
              <w:rPr>
                <w:color w:val="000000"/>
                <w:lang w:val="en-US"/>
              </w:rPr>
              <w:t>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Сталь кругла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BF4632" w:rsidRDefault="00DF4D58" w:rsidP="002C665B">
            <w:pPr>
              <w:jc w:val="center"/>
              <w:rPr>
                <w:color w:val="000000"/>
                <w:lang w:val="en-US"/>
              </w:rPr>
            </w:pPr>
            <w:r>
              <w:rPr>
                <w:color w:val="000000"/>
              </w:rPr>
              <w:t>0,0</w:t>
            </w:r>
            <w:r>
              <w:rPr>
                <w:color w:val="000000"/>
                <w:lang w:val="en-US"/>
              </w:rPr>
              <w:t>70</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Болти будівельні з гайками та шайбами</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BF4632" w:rsidRDefault="00DF4D58" w:rsidP="002C665B">
            <w:pPr>
              <w:jc w:val="center"/>
              <w:rPr>
                <w:color w:val="000000"/>
                <w:lang w:val="en-US"/>
              </w:rPr>
            </w:pPr>
            <w:r>
              <w:rPr>
                <w:color w:val="000000"/>
              </w:rPr>
              <w:t>0,00</w:t>
            </w:r>
            <w:r>
              <w:rPr>
                <w:color w:val="000000"/>
                <w:lang w:val="en-US"/>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Металоконструкції індивідуальні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Проводи із сталевих оцинкованих дротів І групи та алюмінієвих дротів, марка АС, переріз 50/8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0,003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Самонесучий ізольований провід, марка AsXSn, переріз 2х25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Самонесучий ізольований провід, марка AsXSn, переріз 4х70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Емаль антикорозійна ПФ-115 сіра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BF4632" w:rsidRDefault="00DF4D58" w:rsidP="002C665B">
            <w:pPr>
              <w:jc w:val="center"/>
              <w:rPr>
                <w:color w:val="000000"/>
                <w:lang w:val="en-US"/>
              </w:rPr>
            </w:pPr>
            <w:r>
              <w:rPr>
                <w:color w:val="000000"/>
              </w:rPr>
              <w:t>0,00</w:t>
            </w:r>
            <w:r>
              <w:rPr>
                <w:color w:val="000000"/>
                <w:lang w:val="en-US"/>
              </w:rPr>
              <w:t>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Стояки вiброванi для опор повiтряних лiнiй електропередачi напругою 0,38 кВ, довжина 10,5 м, СВ 105-5</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Дюбелі з розпірною гайкою ДГ</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кабельний для кабеля перерізом 25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алюмінієві для опресування 50-10-9а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Скоби будівельні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кг</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7</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Ізолятор штировий ШФ-20</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Ковпачок К-6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натяжний GUKo1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натяжний GUKр2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відгалужувальний NTD201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Гак GHSO 16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Стальна бандажна стрічка для кріплення гаків 20х0,7ІF 207</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Пряжка [скріпка] CF 20 (COT 36)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плашковий  ПС 1-1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плашковий  ПА 2-1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Провiд АПВ 1х25</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Pr="00BF4632" w:rsidRDefault="00DF4D58" w:rsidP="002C665B">
            <w:pPr>
              <w:jc w:val="center"/>
              <w:rPr>
                <w:color w:val="000000"/>
                <w:lang w:val="en-US"/>
              </w:rPr>
            </w:pPr>
            <w:r>
              <w:rPr>
                <w:color w:val="000000"/>
              </w:rPr>
              <w:t>0,01</w:t>
            </w:r>
            <w:r>
              <w:rPr>
                <w:color w:val="000000"/>
                <w:lang w:val="en-US"/>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Провiд ПВ 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0,014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Iзолятор опорний SM-76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Трансформатор трифазовий ТМГ-100/10(6)/0,4-У1, У/Zn-11 </w:t>
            </w:r>
            <w:r>
              <w:rPr>
                <w:color w:val="000000"/>
                <w:lang w:val="en-US"/>
              </w:rPr>
              <w:t>(</w:t>
            </w:r>
            <w:r>
              <w:rPr>
                <w:color w:val="000000"/>
              </w:rPr>
              <w:t>Екодизайн</w:t>
            </w:r>
            <w:r>
              <w:rPr>
                <w:color w:val="000000"/>
                <w:lang w:val="en-US"/>
              </w:rPr>
              <w:t>)</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7E47CD" w:rsidRDefault="00DF4D58" w:rsidP="00DF4D58">
            <w:pPr>
              <w:pStyle w:val="afd"/>
              <w:numPr>
                <w:ilvl w:val="0"/>
                <w:numId w:val="13"/>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Щит ЩТП-100-6,10/0,У1 (без трансформатара)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bl>
    <w:p w:rsidR="00DF4D58" w:rsidRDefault="00DF4D58" w:rsidP="00DF4D58">
      <w:pPr>
        <w:rPr>
          <w:lang w:val="ru-RU"/>
        </w:rPr>
      </w:pPr>
    </w:p>
    <w:p w:rsidR="00DF4D58" w:rsidRPr="00330C07"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0518A">
        <w:rPr>
          <w:b/>
        </w:rPr>
        <w:t>Технічне переоснащення ТП із заміною шафи та силового трансформатора на ТМГ-250/10(6)/0,4-У1, Д/Ун-11</w:t>
      </w:r>
      <w:r>
        <w:rPr>
          <w:b/>
          <w:lang w:val="en-US"/>
        </w:rPr>
        <w:t xml:space="preserve"> </w:t>
      </w:r>
      <w:r w:rsidRPr="00330C07">
        <w:rPr>
          <w:lang w:val="en-US"/>
        </w:rPr>
        <w:t>(</w:t>
      </w:r>
      <w:r>
        <w:t>4</w:t>
      </w:r>
      <w:r w:rsidRPr="00330C07">
        <w:rPr>
          <w:lang w:val="en-US"/>
        </w:rPr>
        <w:t xml:space="preserve"> </w:t>
      </w:r>
      <w:r w:rsidRPr="00330C07">
        <w:t>шт)</w:t>
      </w:r>
    </w:p>
    <w:p w:rsidR="00DF4D58"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20"/>
        <w:gridCol w:w="6321"/>
        <w:gridCol w:w="1276"/>
        <w:gridCol w:w="1417"/>
      </w:tblGrid>
      <w:tr w:rsidR="00DF4D58" w:rsidTr="002C665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  Кількість</w:t>
            </w:r>
          </w:p>
        </w:tc>
      </w:tr>
      <w:tr w:rsidR="00DF4D58" w:rsidTr="002C665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w:t>
            </w:r>
          </w:p>
        </w:tc>
      </w:tr>
      <w:tr w:rsidR="00DF4D58" w:rsidTr="002C665B">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26167D" w:rsidRDefault="00DF4D58" w:rsidP="002C665B">
            <w:pPr>
              <w:jc w:val="center"/>
              <w:rPr>
                <w:b/>
                <w:i/>
                <w:color w:val="000000"/>
              </w:rPr>
            </w:pPr>
            <w:r w:rsidRPr="0026167D">
              <w:rPr>
                <w:b/>
                <w:i/>
                <w:color w:val="000000"/>
              </w:rPr>
              <w:t>Установка КТП-250 кВА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r>
              <w:rPr>
                <w:color w:val="000000"/>
                <w:u w:val="single"/>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r>
              <w:rPr>
                <w:color w:val="000000"/>
                <w:u w:val="single"/>
              </w:rPr>
              <w:t> </w:t>
            </w:r>
          </w:p>
        </w:tc>
      </w:tr>
      <w:tr w:rsidR="00DF4D58" w:rsidTr="002C665B">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w:t>
            </w:r>
          </w:p>
        </w:tc>
        <w:tc>
          <w:tcPr>
            <w:tcW w:w="6321" w:type="dxa"/>
            <w:tcBorders>
              <w:top w:val="single" w:sz="4" w:space="0" w:color="auto"/>
              <w:left w:val="nil"/>
              <w:bottom w:val="single" w:sz="4" w:space="0" w:color="auto"/>
              <w:right w:val="single" w:sz="4" w:space="0" w:color="auto"/>
            </w:tcBorders>
            <w:shd w:val="clear" w:color="auto" w:fill="auto"/>
            <w:hideMark/>
          </w:tcPr>
          <w:p w:rsidR="00DF4D58" w:rsidRPr="0026167D" w:rsidRDefault="00DF4D58" w:rsidP="002C665B">
            <w:pPr>
              <w:rPr>
                <w:color w:val="000000"/>
                <w:lang w:val="en-US"/>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 xml:space="preserve">ґрунтів </w:t>
            </w:r>
            <w:r>
              <w:rPr>
                <w:color w:val="000000"/>
                <w:lang w:val="en-US"/>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w:t>
            </w:r>
          </w:p>
        </w:tc>
      </w:tr>
      <w:tr w:rsidR="00DF4D58" w:rsidTr="002C665B">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0,6</w:t>
            </w:r>
          </w:p>
        </w:tc>
      </w:tr>
      <w:tr w:rsidR="00DF4D58" w:rsidTr="002C665B">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3</w:t>
            </w:r>
          </w:p>
        </w:tc>
        <w:tc>
          <w:tcPr>
            <w:tcW w:w="6321" w:type="dxa"/>
            <w:tcBorders>
              <w:top w:val="nil"/>
              <w:left w:val="nil"/>
              <w:bottom w:val="single" w:sz="4" w:space="0" w:color="auto"/>
              <w:right w:val="single" w:sz="4" w:space="0" w:color="auto"/>
            </w:tcBorders>
            <w:shd w:val="clear" w:color="auto" w:fill="auto"/>
            <w:hideMark/>
          </w:tcPr>
          <w:p w:rsidR="00DF4D58" w:rsidRPr="0026167D" w:rsidRDefault="00DF4D58" w:rsidP="002C665B">
            <w:pPr>
              <w:rPr>
                <w:color w:val="000000"/>
                <w:lang w:val="en-US"/>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 xml:space="preserve">ґрунтів </w:t>
            </w:r>
            <w:r>
              <w:rPr>
                <w:color w:val="000000"/>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6,6</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4</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Ущільнення ґрунту пневматичними трамбівками, група</w:t>
            </w:r>
            <w:r>
              <w:rPr>
                <w:color w:val="000000"/>
              </w:rPr>
              <w:br/>
              <w:t>ґрунтів 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6,6</w:t>
            </w:r>
          </w:p>
        </w:tc>
      </w:tr>
      <w:tr w:rsidR="00DF4D58" w:rsidTr="002C665B">
        <w:trPr>
          <w:trHeight w:val="305"/>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5</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Демотаж роз'єднувачiв вручну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комплект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6</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комплектних трансформаторних пiдстанцiй</w:t>
            </w:r>
            <w:r>
              <w:rPr>
                <w:color w:val="000000"/>
              </w:rPr>
              <w:br/>
              <w:t xml:space="preserve">потужнiстю до 630 кВА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84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7</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Установлення комплектних</w:t>
            </w:r>
            <w:r>
              <w:rPr>
                <w:color w:val="000000"/>
              </w:rPr>
              <w:br/>
              <w:t>трансформаторних підстанцій потужністю до 630 кВА</w:t>
            </w:r>
            <w:r>
              <w:rPr>
                <w:color w:val="000000"/>
              </w:rPr>
              <w:br/>
              <w:t xml:space="preserve">тупикових з повітряними вводами, 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840"/>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8</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Підвішування проводів [3 проводи при 10</w:t>
            </w:r>
            <w:r>
              <w:rPr>
                <w:color w:val="000000"/>
              </w:rPr>
              <w:br/>
              <w:t>опорах на 1 км лінії] в ненаселеній місцевості вручну,</w:t>
            </w:r>
            <w:r>
              <w:rPr>
                <w:color w:val="000000"/>
              </w:rPr>
              <w:br/>
              <w:t xml:space="preserve">перерізом проводів понад 35 мм2 для ВЛ 6-10 кВ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0,005</w:t>
            </w:r>
          </w:p>
        </w:tc>
      </w:tr>
      <w:tr w:rsidR="00DF4D58" w:rsidTr="002C665B">
        <w:trPr>
          <w:trHeight w:val="555"/>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9</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w:t>
            </w:r>
          </w:p>
        </w:tc>
      </w:tr>
      <w:tr w:rsidR="00DF4D58" w:rsidTr="002C665B">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10</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Улаштування основи під фундаменти гравійної</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10,9</w:t>
            </w:r>
          </w:p>
        </w:tc>
      </w:tr>
      <w:tr w:rsidR="00DF4D58" w:rsidTr="002C665B">
        <w:trPr>
          <w:trHeight w:val="540"/>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11</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Установлення комплектних трансформаторних</w:t>
            </w:r>
            <w:r>
              <w:rPr>
                <w:color w:val="000000"/>
              </w:rPr>
              <w:br/>
              <w:t>підстанцій потужністю до 630 кВА, будівельні роботи</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831"/>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12</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Установлення комплектних трансформаторних</w:t>
            </w:r>
            <w:r>
              <w:rPr>
                <w:color w:val="000000"/>
              </w:rPr>
              <w:br/>
              <w:t>підстанцій потужністю до 630 кВА тупикових з</w:t>
            </w:r>
            <w:r>
              <w:rPr>
                <w:color w:val="000000"/>
              </w:rPr>
              <w:br/>
              <w:t xml:space="preserve">повітряними вводами, 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76"/>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13</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Установлення роз'єднувачів вручну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комплект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14</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Укладання блоків і плит стрічкових фундаментів при</w:t>
            </w:r>
            <w:r>
              <w:rPr>
                <w:color w:val="000000"/>
              </w:rPr>
              <w:br/>
              <w:t>глибині котлована до 4 м, маса конструкцій до 0,5 т</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15</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Пiдвiшування самонесучого iзольованого провода на</w:t>
            </w:r>
            <w:r>
              <w:rPr>
                <w:color w:val="000000"/>
              </w:rPr>
              <w:br/>
              <w:t>опорах</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0,22</w:t>
            </w:r>
          </w:p>
        </w:tc>
      </w:tr>
      <w:tr w:rsidR="00DF4D58" w:rsidTr="002C665B">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26167D" w:rsidRDefault="00DF4D58" w:rsidP="002C665B">
            <w:pPr>
              <w:jc w:val="center"/>
              <w:rPr>
                <w:i/>
                <w:color w:val="000000"/>
              </w:rPr>
            </w:pPr>
            <w:r w:rsidRPr="0026167D">
              <w:rPr>
                <w:i/>
                <w:color w:val="000000"/>
              </w:rPr>
              <w:t>Заземлення</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16</w:t>
            </w:r>
          </w:p>
        </w:tc>
        <w:tc>
          <w:tcPr>
            <w:tcW w:w="6321" w:type="dxa"/>
            <w:tcBorders>
              <w:top w:val="nil"/>
              <w:left w:val="nil"/>
              <w:bottom w:val="single" w:sz="4" w:space="0" w:color="auto"/>
              <w:right w:val="single" w:sz="4" w:space="0" w:color="auto"/>
            </w:tcBorders>
            <w:shd w:val="clear" w:color="auto" w:fill="auto"/>
            <w:hideMark/>
          </w:tcPr>
          <w:p w:rsidR="00DF4D58" w:rsidRPr="0026167D" w:rsidRDefault="00DF4D58" w:rsidP="002C665B">
            <w:pPr>
              <w:rPr>
                <w:color w:val="000000"/>
                <w:lang w:val="en-US"/>
              </w:rPr>
            </w:pPr>
            <w:r>
              <w:rPr>
                <w:color w:val="000000"/>
              </w:rPr>
              <w:t>Розробка ґрунту вручну в траншеях глибиною до 2 м без</w:t>
            </w:r>
            <w:r>
              <w:rPr>
                <w:color w:val="000000"/>
              </w:rPr>
              <w:br/>
              <w:t xml:space="preserve">кріплень з укосами, група ґрунтів </w:t>
            </w:r>
            <w:r>
              <w:rPr>
                <w:color w:val="000000"/>
                <w:lang w:val="en-US"/>
              </w:rPr>
              <w:t>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20</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17</w:t>
            </w:r>
          </w:p>
        </w:tc>
        <w:tc>
          <w:tcPr>
            <w:tcW w:w="6321" w:type="dxa"/>
            <w:tcBorders>
              <w:top w:val="nil"/>
              <w:left w:val="nil"/>
              <w:bottom w:val="single" w:sz="4" w:space="0" w:color="auto"/>
              <w:right w:val="single" w:sz="4" w:space="0" w:color="auto"/>
            </w:tcBorders>
            <w:shd w:val="clear" w:color="auto" w:fill="auto"/>
            <w:hideMark/>
          </w:tcPr>
          <w:p w:rsidR="00DF4D58" w:rsidRPr="0026167D" w:rsidRDefault="00DF4D58" w:rsidP="002C665B">
            <w:pPr>
              <w:rPr>
                <w:color w:val="000000"/>
                <w:lang w:val="en-US"/>
              </w:rPr>
            </w:pPr>
            <w:r>
              <w:rPr>
                <w:color w:val="000000"/>
              </w:rPr>
              <w:t>Засипка вручну траншей, пазух котлованів і ям, група</w:t>
            </w:r>
            <w:r>
              <w:rPr>
                <w:color w:val="000000"/>
              </w:rPr>
              <w:br/>
              <w:t xml:space="preserve">ґрунтів </w:t>
            </w:r>
            <w:r>
              <w:rPr>
                <w:color w:val="000000"/>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20</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lastRenderedPageBreak/>
              <w:t>18</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Провідник заземлюючий відкрито по будівельних</w:t>
            </w:r>
            <w:r>
              <w:rPr>
                <w:color w:val="000000"/>
              </w:rPr>
              <w:br/>
              <w:t>основах з круглої сталі діаметром 8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w:t>
            </w:r>
          </w:p>
        </w:tc>
      </w:tr>
      <w:tr w:rsidR="00DF4D58" w:rsidTr="002C665B">
        <w:trPr>
          <w:trHeight w:val="354"/>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19</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Заземлювач вертикальний з круглої сталі діаметром 16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9</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20</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Заземлювач горизонтальний у траншеї зі сталі круглої,</w:t>
            </w:r>
            <w:r>
              <w:rPr>
                <w:color w:val="000000"/>
              </w:rPr>
              <w:br/>
              <w:t>діаметр 12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7</w:t>
            </w:r>
          </w:p>
        </w:tc>
      </w:tr>
      <w:tr w:rsidR="00DF4D58" w:rsidTr="002C665B">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21</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560"/>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22</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Фаз-ня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9</w:t>
            </w:r>
          </w:p>
        </w:tc>
      </w:tr>
      <w:tr w:rsidR="00DF4D58" w:rsidTr="002C665B">
        <w:trPr>
          <w:trHeight w:val="554"/>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23</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Фаз-ня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27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DF4D58" w:rsidRPr="0026167D" w:rsidRDefault="00DF4D58" w:rsidP="002C665B">
            <w:pPr>
              <w:jc w:val="center"/>
              <w:rPr>
                <w:i/>
                <w:color w:val="000000"/>
              </w:rPr>
            </w:pPr>
            <w:r w:rsidRPr="0026167D">
              <w:rPr>
                <w:i/>
                <w:color w:val="000000"/>
              </w:rPr>
              <w:t>Встановлення трансформатора 250 кВА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u w:val="single"/>
              </w:rPr>
            </w:pP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24</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Монтаж ізолятора опорного напругою до 10 кВ, 2 точки</w:t>
            </w:r>
            <w:r>
              <w:rPr>
                <w:color w:val="000000"/>
              </w:rPr>
              <w:br/>
              <w:t>кріплення</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8</w:t>
            </w:r>
          </w:p>
        </w:tc>
      </w:tr>
      <w:tr w:rsidR="00DF4D58" w:rsidTr="002C665B">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25</w:t>
            </w:r>
          </w:p>
        </w:tc>
        <w:tc>
          <w:tcPr>
            <w:tcW w:w="6321" w:type="dxa"/>
            <w:tcBorders>
              <w:top w:val="single" w:sz="4" w:space="0" w:color="auto"/>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Конструкції металеві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0,035</w:t>
            </w:r>
          </w:p>
        </w:tc>
      </w:tr>
      <w:tr w:rsidR="00DF4D58" w:rsidTr="002C665B">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DF4D58" w:rsidRDefault="00DF4D58" w:rsidP="002C665B">
            <w:pPr>
              <w:jc w:val="center"/>
              <w:rPr>
                <w:color w:val="000000"/>
              </w:rPr>
            </w:pPr>
            <w:r>
              <w:rPr>
                <w:color w:val="000000"/>
              </w:rPr>
              <w:t>26</w:t>
            </w: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Лічильник трифазний, що установлюється на готовій</w:t>
            </w:r>
            <w:r>
              <w:rPr>
                <w:color w:val="000000"/>
              </w:rPr>
              <w:br/>
              <w:t>основі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bl>
    <w:p w:rsidR="00DF4D58" w:rsidRPr="00AF628D" w:rsidRDefault="00DF4D58" w:rsidP="00DF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DF4D58" w:rsidRDefault="00DF4D58" w:rsidP="00DF4D58">
      <w:pPr>
        <w:rPr>
          <w:lang w:val="ru-RU"/>
        </w:rPr>
      </w:pPr>
      <w:r w:rsidRPr="00F0179B">
        <w:rPr>
          <w:lang w:val="ru-RU"/>
        </w:rPr>
        <w:t>2. Перелік матеріальних ресурсів та устаткування.</w:t>
      </w:r>
    </w:p>
    <w:p w:rsidR="00DF4D58" w:rsidRDefault="00DF4D58" w:rsidP="00DF4D58">
      <w:pPr>
        <w:rPr>
          <w:lang w:val="ru-RU"/>
        </w:rPr>
      </w:pPr>
    </w:p>
    <w:tbl>
      <w:tblPr>
        <w:tblW w:w="9634" w:type="dxa"/>
        <w:tblInd w:w="113" w:type="dxa"/>
        <w:tblLook w:val="04A0" w:firstRow="1" w:lastRow="0" w:firstColumn="1" w:lastColumn="0" w:noHBand="0" w:noVBand="1"/>
      </w:tblPr>
      <w:tblGrid>
        <w:gridCol w:w="620"/>
        <w:gridCol w:w="6321"/>
        <w:gridCol w:w="1276"/>
        <w:gridCol w:w="1417"/>
      </w:tblGrid>
      <w:tr w:rsidR="00DF4D58" w:rsidTr="002C665B">
        <w:trPr>
          <w:trHeight w:val="9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Найменування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 xml:space="preserve">Одиниця </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Кількість</w:t>
            </w:r>
          </w:p>
        </w:tc>
      </w:tr>
      <w:tr w:rsidR="00DF4D58" w:rsidTr="002C665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Електроди, діаметр </w:t>
            </w:r>
            <w:r>
              <w:rPr>
                <w:color w:val="000000"/>
                <w:lang w:val="en-US"/>
              </w:rPr>
              <w:t>4</w:t>
            </w:r>
            <w:r>
              <w:rPr>
                <w:color w:val="000000"/>
              </w:rPr>
              <w:t xml:space="preserve">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1D7398" w:rsidRDefault="00DF4D58" w:rsidP="002C665B">
            <w:pPr>
              <w:jc w:val="center"/>
              <w:rPr>
                <w:color w:val="000000"/>
                <w:lang w:val="en-US"/>
              </w:rPr>
            </w:pPr>
            <w:r>
              <w:rPr>
                <w:color w:val="000000"/>
              </w:rPr>
              <w:t>0,002</w:t>
            </w:r>
            <w:r>
              <w:rPr>
                <w:color w:val="000000"/>
                <w:lang w:val="en-US"/>
              </w:rPr>
              <w:t>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Сталь кругла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Болти будівельні з гайками та шайбами</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1D7398" w:rsidRDefault="00DF4D58" w:rsidP="002C665B">
            <w:pPr>
              <w:jc w:val="center"/>
              <w:rPr>
                <w:color w:val="000000"/>
                <w:lang w:val="en-US"/>
              </w:rPr>
            </w:pPr>
            <w:r>
              <w:rPr>
                <w:color w:val="000000"/>
              </w:rPr>
              <w:t>0,00</w:t>
            </w:r>
            <w:r>
              <w:rPr>
                <w:color w:val="000000"/>
                <w:lang w:val="en-US"/>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Металоконструкції індивідуальні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0,035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Проводи із сталевих оцинкованих дротів І групи та алюмінієвих дротів, марка АС, переріз 50/8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0,003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Самонесучий ізольований провід, марка AsXSn, переріз 2х25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Самонесучий ізольований провід, марка AsXSn, переріз 4х50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Самонесучий ізольований провід, марка AsXSn, переріз 4х70 мм2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Емаль антикорозійна ПФ-115 сіра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DF4D58" w:rsidRPr="001D7398" w:rsidRDefault="00DF4D58" w:rsidP="002C665B">
            <w:pPr>
              <w:jc w:val="center"/>
              <w:rPr>
                <w:color w:val="000000"/>
                <w:lang w:val="en-US"/>
              </w:rPr>
            </w:pPr>
            <w:r>
              <w:rPr>
                <w:color w:val="000000"/>
              </w:rPr>
              <w:t>0,00</w:t>
            </w:r>
            <w:r>
              <w:rPr>
                <w:color w:val="000000"/>
                <w:lang w:val="en-US"/>
              </w:rPr>
              <w:t>5</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Блок ФБС -9.4.6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Блок ФБС-12.4.6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Гравій для будівельних робіт, фракція 5-20</w:t>
            </w:r>
            <w:r>
              <w:rPr>
                <w:color w:val="000000"/>
              </w:rPr>
              <w:br/>
              <w:t>мм, марка ДР8</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DF4D58" w:rsidRPr="001D7398" w:rsidRDefault="00DF4D58" w:rsidP="002C665B">
            <w:pPr>
              <w:jc w:val="center"/>
              <w:rPr>
                <w:color w:val="000000"/>
                <w:lang w:val="en-US"/>
              </w:rPr>
            </w:pPr>
            <w:r>
              <w:rPr>
                <w:color w:val="000000"/>
                <w:lang w:val="en-US"/>
              </w:rPr>
              <w:t>11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алюмінієві для опресування 50-10-9а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кабельний для кабеля перерізом 25 мм</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Наконечники кабельний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0,12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алюмінієві для опресування 70-10-11а</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Наконечники кабельні</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30</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Ізолятор штировий ШФ-20</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Ковпачок К-6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натяжний GUKo1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NTD201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38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натяжний GUKр2</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Гак GHSO 16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20</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Стальна бандажна стрічка для кріплення гаків 20х0,7 IF 207 (СОТ37)</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44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Пряжка [скріпка] CF 20 (COT 36)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12</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плашковий  ПС 1-1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Затискач плашковий  ПА 2-1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6</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Провiд АПВ 1х25</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Pr="001D7398" w:rsidRDefault="00DF4D58" w:rsidP="002C665B">
            <w:pPr>
              <w:jc w:val="center"/>
              <w:rPr>
                <w:color w:val="000000"/>
                <w:lang w:val="en-US"/>
              </w:rPr>
            </w:pPr>
            <w:r>
              <w:rPr>
                <w:color w:val="000000"/>
              </w:rPr>
              <w:t>0,01</w:t>
            </w:r>
            <w:r>
              <w:rPr>
                <w:color w:val="000000"/>
                <w:lang w:val="en-US"/>
              </w:rPr>
              <w:t>3</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Провiд ПВ 1</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0,014</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Iзолятор опорний SM-76</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8</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Трансформатор трифазовий з двома обмотками ТМГ-250/10(6)/0,4-У1, Д/Ун-11 </w:t>
            </w:r>
            <w:r>
              <w:rPr>
                <w:color w:val="000000"/>
                <w:lang w:val="en-US"/>
              </w:rPr>
              <w:t>(</w:t>
            </w:r>
            <w:r>
              <w:rPr>
                <w:color w:val="000000"/>
              </w:rPr>
              <w:t>Екодизайн</w:t>
            </w:r>
            <w:r>
              <w:rPr>
                <w:color w:val="000000"/>
                <w:lang w:val="en-US"/>
              </w:rPr>
              <w:t>)</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r w:rsidR="00DF4D58" w:rsidTr="002C665B">
        <w:trPr>
          <w:trHeight w:val="263"/>
        </w:trPr>
        <w:tc>
          <w:tcPr>
            <w:tcW w:w="620" w:type="dxa"/>
            <w:tcBorders>
              <w:top w:val="nil"/>
              <w:left w:val="single" w:sz="4" w:space="0" w:color="auto"/>
              <w:bottom w:val="single" w:sz="4" w:space="0" w:color="auto"/>
              <w:right w:val="single" w:sz="4" w:space="0" w:color="auto"/>
            </w:tcBorders>
            <w:shd w:val="clear" w:color="auto" w:fill="auto"/>
          </w:tcPr>
          <w:p w:rsidR="00DF4D58" w:rsidRPr="001D7398" w:rsidRDefault="00DF4D58" w:rsidP="00DF4D58">
            <w:pPr>
              <w:pStyle w:val="afd"/>
              <w:numPr>
                <w:ilvl w:val="0"/>
                <w:numId w:val="14"/>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DF4D58" w:rsidRDefault="00DF4D58" w:rsidP="002C665B">
            <w:pPr>
              <w:rPr>
                <w:color w:val="000000"/>
              </w:rPr>
            </w:pPr>
            <w:r>
              <w:rPr>
                <w:color w:val="000000"/>
              </w:rPr>
              <w:t xml:space="preserve">Шафа КТПМ-250-6,10/0,Ч,У1 (без трансформатора з роз'єднювачем) </w:t>
            </w:r>
          </w:p>
        </w:tc>
        <w:tc>
          <w:tcPr>
            <w:tcW w:w="1276"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DF4D58" w:rsidRDefault="00DF4D58" w:rsidP="002C665B">
            <w:pPr>
              <w:jc w:val="center"/>
              <w:rPr>
                <w:color w:val="000000"/>
              </w:rPr>
            </w:pPr>
            <w:r>
              <w:rPr>
                <w:color w:val="000000"/>
              </w:rPr>
              <w:t>1</w:t>
            </w:r>
          </w:p>
        </w:tc>
      </w:tr>
    </w:tbl>
    <w:p w:rsidR="00DF4D58" w:rsidRPr="00580BD1" w:rsidRDefault="00DF4D58" w:rsidP="00DF4D58">
      <w:pPr>
        <w:rPr>
          <w:lang w:val="en-US"/>
        </w:rPr>
      </w:pPr>
    </w:p>
    <w:p w:rsidR="00D72A63" w:rsidRDefault="00D72A63" w:rsidP="00E31462">
      <w:pPr>
        <w:jc w:val="center"/>
        <w:rPr>
          <w:b/>
          <w:bCs/>
        </w:rPr>
      </w:pPr>
      <w:bookmarkStart w:id="27" w:name="_GoBack"/>
      <w:bookmarkEnd w:id="27"/>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lastRenderedPageBreak/>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7D" w:rsidRDefault="0003197D">
      <w:r>
        <w:separator/>
      </w:r>
    </w:p>
  </w:endnote>
  <w:endnote w:type="continuationSeparator" w:id="0">
    <w:p w:rsidR="0003197D" w:rsidRDefault="000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72901" w:rsidRDefault="0047290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4D58">
      <w:rPr>
        <w:rStyle w:val="a9"/>
        <w:noProof/>
      </w:rPr>
      <w:t>48</w:t>
    </w:r>
    <w:r>
      <w:rPr>
        <w:rStyle w:val="a9"/>
      </w:rPr>
      <w:fldChar w:fldCharType="end"/>
    </w:r>
  </w:p>
  <w:p w:rsidR="00472901" w:rsidRDefault="00472901" w:rsidP="007A4B6C">
    <w:pPr>
      <w:pStyle w:val="a5"/>
      <w:framePr w:wrap="around" w:vAnchor="text" w:hAnchor="margin" w:xAlign="right" w:y="1"/>
      <w:jc w:val="center"/>
      <w:rPr>
        <w:rStyle w:val="a9"/>
      </w:rPr>
    </w:pPr>
  </w:p>
  <w:p w:rsidR="00472901" w:rsidRDefault="00472901" w:rsidP="009B0AC3">
    <w:pPr>
      <w:pStyle w:val="a5"/>
      <w:framePr w:wrap="around" w:vAnchor="text" w:hAnchor="margin" w:y="1"/>
      <w:ind w:right="360"/>
      <w:rPr>
        <w:rStyle w:val="a9"/>
      </w:rPr>
    </w:pPr>
  </w:p>
  <w:p w:rsidR="00472901" w:rsidRDefault="0047290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jc w:val="center"/>
    </w:pPr>
    <w:r>
      <w:fldChar w:fldCharType="begin"/>
    </w:r>
    <w:r>
      <w:instrText xml:space="preserve"> PAGE   \* MERGEFORMAT </w:instrText>
    </w:r>
    <w:r>
      <w:fldChar w:fldCharType="separate"/>
    </w:r>
    <w:r w:rsidR="00DF4D58">
      <w:rPr>
        <w:noProof/>
      </w:rP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jc w:val="center"/>
    </w:pPr>
    <w:r>
      <w:fldChar w:fldCharType="begin"/>
    </w:r>
    <w:r>
      <w:instrText xml:space="preserve"> PAGE   \* MERGEFORMAT </w:instrText>
    </w:r>
    <w:r>
      <w:fldChar w:fldCharType="separate"/>
    </w:r>
    <w:r w:rsidR="00DF4D58">
      <w:rPr>
        <w:noProof/>
      </w:rPr>
      <w:t>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7D" w:rsidRDefault="0003197D">
      <w:r>
        <w:separator/>
      </w:r>
    </w:p>
  </w:footnote>
  <w:footnote w:type="continuationSeparator" w:id="0">
    <w:p w:rsidR="0003197D" w:rsidRDefault="0003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9E061C"/>
    <w:multiLevelType w:val="hybridMultilevel"/>
    <w:tmpl w:val="9DD80856"/>
    <w:lvl w:ilvl="0" w:tplc="2B801D7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86A60F7"/>
    <w:multiLevelType w:val="hybridMultilevel"/>
    <w:tmpl w:val="2C38AAB4"/>
    <w:lvl w:ilvl="0" w:tplc="4BB8343C">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EA640A"/>
    <w:multiLevelType w:val="hybridMultilevel"/>
    <w:tmpl w:val="0A941F52"/>
    <w:lvl w:ilvl="0" w:tplc="F1FC174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1E17B6"/>
    <w:multiLevelType w:val="hybridMultilevel"/>
    <w:tmpl w:val="157473EA"/>
    <w:lvl w:ilvl="0" w:tplc="74765C3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2"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7D51165"/>
    <w:multiLevelType w:val="hybridMultilevel"/>
    <w:tmpl w:val="05D0738C"/>
    <w:lvl w:ilvl="0" w:tplc="64EAB978">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1"/>
  </w:num>
  <w:num w:numId="4">
    <w:abstractNumId w:val="13"/>
  </w:num>
  <w:num w:numId="5">
    <w:abstractNumId w:val="10"/>
  </w:num>
  <w:num w:numId="6">
    <w:abstractNumId w:val="15"/>
  </w:num>
  <w:num w:numId="7">
    <w:abstractNumId w:val="9"/>
  </w:num>
  <w:num w:numId="8">
    <w:abstractNumId w:val="2"/>
  </w:num>
  <w:num w:numId="9">
    <w:abstractNumId w:val="12"/>
  </w:num>
  <w:num w:numId="10">
    <w:abstractNumId w:val="8"/>
  </w:num>
  <w:num w:numId="11">
    <w:abstractNumId w:val="6"/>
  </w:num>
  <w:num w:numId="12">
    <w:abstractNumId w:val="14"/>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97D"/>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45E"/>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32E"/>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9B2"/>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901"/>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0F08"/>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B7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DF4"/>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527"/>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2E6"/>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EC4"/>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3D5F"/>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945"/>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F5"/>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4E8C"/>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ABF"/>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0CA"/>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4A7"/>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D58"/>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77603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 w:type="paragraph" w:styleId="aff6">
    <w:name w:val="Subtitle"/>
    <w:basedOn w:val="a"/>
    <w:next w:val="a"/>
    <w:link w:val="aff7"/>
    <w:qFormat/>
    <w:rsid w:val="001219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ідзаголовок Знак"/>
    <w:basedOn w:val="a0"/>
    <w:link w:val="aff6"/>
    <w:rsid w:val="001219B2"/>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F28D-BF02-46F8-9555-0AF3F86F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128000</Words>
  <Characters>72960</Characters>
  <Application>Microsoft Office Word</Application>
  <DocSecurity>0</DocSecurity>
  <Lines>608</Lines>
  <Paragraphs>401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2023-02-22T10:07:00Z</dcterms:created>
  <dcterms:modified xsi:type="dcterms:W3CDTF">2023-02-22T10:07:00Z</dcterms:modified>
</cp:coreProperties>
</file>