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F4" w:rsidRPr="00A75252" w:rsidRDefault="00A75252" w:rsidP="00A75252">
      <w:pPr>
        <w:jc w:val="right"/>
        <w:rPr>
          <w:rFonts w:ascii="Times New Roman" w:hAnsi="Times New Roman" w:cs="Times New Roman"/>
          <w:b/>
          <w:iCs/>
          <w:color w:val="000000"/>
          <w:lang w:val="uk-UA"/>
        </w:rPr>
      </w:pPr>
      <w:bookmarkStart w:id="0" w:name="_GoBack"/>
      <w:bookmarkEnd w:id="0"/>
      <w:r w:rsidRPr="00A75252">
        <w:rPr>
          <w:rFonts w:ascii="Times New Roman" w:hAnsi="Times New Roman" w:cs="Times New Roman"/>
          <w:b/>
          <w:iCs/>
          <w:color w:val="000000"/>
          <w:lang w:val="uk-UA"/>
        </w:rPr>
        <w:t>Форма 1</w:t>
      </w:r>
    </w:p>
    <w:p w:rsidR="00A519F4" w:rsidRPr="00E01496" w:rsidRDefault="00A519F4" w:rsidP="00A519F4">
      <w:pPr>
        <w:shd w:val="clear" w:color="auto" w:fill="FFFFFF"/>
        <w:ind w:left="34" w:right="1"/>
        <w:jc w:val="center"/>
        <w:rPr>
          <w:rFonts w:ascii="Times New Roman" w:hAnsi="Times New Roman" w:cs="Times New Roman"/>
          <w:b/>
          <w:bCs/>
          <w:lang w:val="uk-UA" w:eastAsia="en-US"/>
        </w:rPr>
      </w:pPr>
      <w:r w:rsidRPr="00E01496">
        <w:rPr>
          <w:rFonts w:ascii="Times New Roman" w:hAnsi="Times New Roman" w:cs="Times New Roman"/>
          <w:b/>
          <w:bCs/>
          <w:lang w:val="uk-UA" w:eastAsia="en-US"/>
        </w:rPr>
        <w:t xml:space="preserve">ТЕХНІЧНІ ВИМОГИ І ЯКІСНІ ХАРАКТЕРИСТИКИ </w:t>
      </w:r>
    </w:p>
    <w:p w:rsidR="00A519F4" w:rsidRPr="00E01496" w:rsidRDefault="00A519F4" w:rsidP="00A519F4">
      <w:pPr>
        <w:keepNext/>
        <w:jc w:val="center"/>
        <w:outlineLvl w:val="3"/>
        <w:rPr>
          <w:rFonts w:ascii="Times New Roman" w:hAnsi="Times New Roman" w:cs="Times New Roman"/>
          <w:b/>
          <w:bCs/>
          <w:lang w:val="uk-UA"/>
        </w:rPr>
      </w:pPr>
      <w:r w:rsidRPr="00E01496">
        <w:rPr>
          <w:rFonts w:ascii="Times New Roman" w:hAnsi="Times New Roman" w:cs="Times New Roman"/>
          <w:b/>
          <w:bCs/>
          <w:lang w:val="uk-UA"/>
        </w:rPr>
        <w:t>ПРЕДМЕТА ЗАКУПІВЛІ</w:t>
      </w:r>
    </w:p>
    <w:p w:rsidR="00A519F4" w:rsidRPr="00E01496" w:rsidRDefault="00A519F4" w:rsidP="00A519F4">
      <w:pPr>
        <w:keepNext/>
        <w:ind w:right="100"/>
        <w:jc w:val="both"/>
        <w:rPr>
          <w:rFonts w:ascii="Times New Roman" w:hAnsi="Times New Roman" w:cs="Times New Roman"/>
          <w:b/>
          <w:bCs/>
          <w:lang w:val="uk-UA"/>
        </w:rPr>
      </w:pPr>
      <w:r w:rsidRPr="00E01496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Класифікатор ДК 021:2015 (CPV)</w:t>
      </w:r>
      <w:r w:rsidRPr="00E01496">
        <w:rPr>
          <w:rFonts w:ascii="Times New Roman" w:hAnsi="Times New Roman" w:cs="Times New Roman"/>
          <w:b/>
          <w:bCs/>
          <w:lang w:val="uk-UA"/>
        </w:rPr>
        <w:t xml:space="preserve"> 33600000-6 «Фармацевтична продукція» </w:t>
      </w:r>
    </w:p>
    <w:p w:rsidR="00A519F4" w:rsidRPr="00E01496" w:rsidRDefault="00A519F4" w:rsidP="00A519F4">
      <w:pPr>
        <w:ind w:firstLine="360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A519F4" w:rsidRPr="00E01496" w:rsidRDefault="006F4C1F" w:rsidP="006F4C1F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>
        <w:rPr>
          <w:rFonts w:ascii="Times New Roman" w:eastAsia="Calibri" w:hAnsi="Times New Roman" w:cs="Times New Roman"/>
          <w:b/>
          <w:color w:val="000000"/>
          <w:lang w:val="uk-UA" w:eastAsia="en-US"/>
        </w:rPr>
        <w:t>Пропозиція Учасника процедури закупівлі повинна</w:t>
      </w:r>
      <w:r w:rsidRPr="00E01496">
        <w:rPr>
          <w:rFonts w:ascii="Times New Roman" w:eastAsia="Calibri" w:hAnsi="Times New Roman" w:cs="Times New Roman"/>
          <w:b/>
          <w:color w:val="000000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val="uk-UA" w:eastAsia="en-US"/>
        </w:rPr>
        <w:t xml:space="preserve">відповідати наступним </w:t>
      </w:r>
      <w:r w:rsidRPr="00E01496">
        <w:rPr>
          <w:rFonts w:ascii="Times New Roman" w:eastAsia="Calibri" w:hAnsi="Times New Roman" w:cs="Times New Roman"/>
          <w:b/>
          <w:color w:val="000000"/>
          <w:lang w:val="uk-UA" w:eastAsia="en-US"/>
        </w:rPr>
        <w:t>технічним, якісним, кількісним та іншим вимогам до предмета закупівлі</w:t>
      </w:r>
      <w:r>
        <w:rPr>
          <w:rFonts w:ascii="Times New Roman" w:eastAsia="Calibri" w:hAnsi="Times New Roman" w:cs="Times New Roman"/>
          <w:b/>
          <w:color w:val="000000"/>
          <w:lang w:val="uk-UA" w:eastAsia="en-US"/>
        </w:rPr>
        <w:t>.</w:t>
      </w:r>
    </w:p>
    <w:tbl>
      <w:tblPr>
        <w:tblStyle w:val="1"/>
        <w:tblpPr w:leftFromText="180" w:rightFromText="180" w:vertAnchor="text" w:horzAnchor="page" w:tblpX="1813" w:tblpY="192"/>
        <w:tblW w:w="8755" w:type="dxa"/>
        <w:tblLayout w:type="fixed"/>
        <w:tblLook w:val="04A0" w:firstRow="1" w:lastRow="0" w:firstColumn="1" w:lastColumn="0" w:noHBand="0" w:noVBand="1"/>
      </w:tblPr>
      <w:tblGrid>
        <w:gridCol w:w="568"/>
        <w:gridCol w:w="5210"/>
        <w:gridCol w:w="1134"/>
        <w:gridCol w:w="1843"/>
      </w:tblGrid>
      <w:tr w:rsidR="00F5308E" w:rsidRPr="005D2472" w:rsidTr="00F5308E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 w:eastAsia="zh-CN"/>
              </w:rPr>
            </w:pPr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 w:eastAsia="zh-CN"/>
              </w:rPr>
            </w:pPr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>Найменування товару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 w:eastAsia="zh-CN"/>
              </w:rPr>
            </w:pPr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 xml:space="preserve">Од. </w:t>
            </w:r>
            <w:proofErr w:type="spellStart"/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>вим</w:t>
            </w:r>
            <w:proofErr w:type="spellEnd"/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 w:eastAsia="zh-CN"/>
              </w:rPr>
            </w:pPr>
            <w:r w:rsidRPr="005D2472">
              <w:rPr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</w:tr>
      <w:tr w:rsidR="00F5308E" w:rsidRPr="005D2472" w:rsidTr="00F5308E">
        <w:trPr>
          <w:trHeight w:val="4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308E" w:rsidRPr="005D2472" w:rsidRDefault="00F5308E" w:rsidP="00F5308E">
            <w:pPr>
              <w:tabs>
                <w:tab w:val="left" w:pos="2715"/>
              </w:tabs>
              <w:jc w:val="center"/>
              <w:rPr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205DFE" w:rsidP="00F5308E">
            <w:pPr>
              <w:rPr>
                <w:color w:val="000000"/>
              </w:rPr>
            </w:pPr>
            <w:proofErr w:type="spellStart"/>
            <w:r w:rsidRPr="00205DFE">
              <w:rPr>
                <w:color w:val="000000"/>
              </w:rPr>
              <w:t>Анальгін</w:t>
            </w:r>
            <w:proofErr w:type="spellEnd"/>
            <w:r w:rsidRPr="00205DFE">
              <w:rPr>
                <w:color w:val="000000"/>
              </w:rPr>
              <w:t xml:space="preserve"> </w:t>
            </w:r>
            <w:proofErr w:type="spellStart"/>
            <w:r w:rsidRPr="00205DFE">
              <w:rPr>
                <w:color w:val="000000"/>
              </w:rPr>
              <w:t>розчин</w:t>
            </w:r>
            <w:proofErr w:type="spellEnd"/>
            <w:r w:rsidRPr="00205DFE">
              <w:rPr>
                <w:color w:val="000000"/>
              </w:rPr>
              <w:t xml:space="preserve"> для </w:t>
            </w:r>
            <w:proofErr w:type="spellStart"/>
            <w:r w:rsidRPr="00205DFE">
              <w:rPr>
                <w:color w:val="000000"/>
              </w:rPr>
              <w:t>ін'єкцій</w:t>
            </w:r>
            <w:proofErr w:type="spellEnd"/>
            <w:r w:rsidRPr="00205DFE">
              <w:rPr>
                <w:color w:val="000000"/>
              </w:rPr>
              <w:t xml:space="preserve"> 500 мг/мл по 2 мл </w:t>
            </w:r>
            <w:proofErr w:type="gramStart"/>
            <w:r w:rsidRPr="00205DFE">
              <w:rPr>
                <w:color w:val="000000"/>
              </w:rPr>
              <w:t>в</w:t>
            </w:r>
            <w:proofErr w:type="gramEnd"/>
            <w:r w:rsidRPr="00205DFE">
              <w:rPr>
                <w:color w:val="000000"/>
              </w:rPr>
              <w:t xml:space="preserve"> </w:t>
            </w:r>
            <w:proofErr w:type="spellStart"/>
            <w:r w:rsidRPr="00205DFE">
              <w:rPr>
                <w:color w:val="000000"/>
              </w:rPr>
              <w:t>ампулі</w:t>
            </w:r>
            <w:proofErr w:type="spellEnd"/>
            <w:r w:rsidRPr="00205DFE">
              <w:rPr>
                <w:color w:val="00000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пачка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205DFE" w:rsidP="00F5308E">
            <w:pPr>
              <w:rPr>
                <w:color w:val="000000"/>
                <w:lang w:val="uk-UA"/>
              </w:rPr>
            </w:pPr>
            <w:proofErr w:type="spellStart"/>
            <w:r w:rsidRPr="00205DFE">
              <w:rPr>
                <w:color w:val="000000"/>
                <w:lang w:val="uk-UA"/>
              </w:rPr>
              <w:t>Маніт</w:t>
            </w:r>
            <w:proofErr w:type="spellEnd"/>
            <w:r w:rsidRPr="00205DFE">
              <w:rPr>
                <w:color w:val="000000"/>
                <w:lang w:val="uk-UA"/>
              </w:rPr>
              <w:t xml:space="preserve"> розчин для </w:t>
            </w:r>
            <w:proofErr w:type="spellStart"/>
            <w:r w:rsidRPr="00205DFE">
              <w:rPr>
                <w:color w:val="000000"/>
                <w:lang w:val="uk-UA"/>
              </w:rPr>
              <w:t>інфузій</w:t>
            </w:r>
            <w:proofErr w:type="spellEnd"/>
            <w:r w:rsidRPr="00205DFE">
              <w:rPr>
                <w:color w:val="000000"/>
                <w:lang w:val="uk-UA"/>
              </w:rPr>
              <w:t xml:space="preserve"> 150 мг/</w:t>
            </w:r>
            <w:proofErr w:type="spellStart"/>
            <w:r w:rsidRPr="00205DFE">
              <w:rPr>
                <w:color w:val="000000"/>
                <w:lang w:val="uk-UA"/>
              </w:rPr>
              <w:t>мл</w:t>
            </w:r>
            <w:proofErr w:type="spellEnd"/>
            <w:r w:rsidRPr="00205DFE">
              <w:rPr>
                <w:color w:val="000000"/>
                <w:lang w:val="uk-UA"/>
              </w:rPr>
              <w:t xml:space="preserve"> по 200 </w:t>
            </w:r>
            <w:proofErr w:type="spellStart"/>
            <w:r w:rsidRPr="00205DFE">
              <w:rPr>
                <w:color w:val="000000"/>
                <w:lang w:val="uk-UA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пляшка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144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205DFE" w:rsidP="00F5308E">
            <w:pPr>
              <w:rPr>
                <w:color w:val="000000"/>
                <w:lang w:val="uk-UA"/>
              </w:rPr>
            </w:pPr>
            <w:r w:rsidRPr="00205DFE">
              <w:rPr>
                <w:color w:val="000000"/>
                <w:lang w:val="uk-UA"/>
              </w:rPr>
              <w:t xml:space="preserve">Натрію хлорид розчин для </w:t>
            </w:r>
            <w:proofErr w:type="spellStart"/>
            <w:r w:rsidRPr="00205DFE">
              <w:rPr>
                <w:color w:val="000000"/>
                <w:lang w:val="uk-UA"/>
              </w:rPr>
              <w:t>інфузій</w:t>
            </w:r>
            <w:proofErr w:type="spellEnd"/>
            <w:r w:rsidRPr="00205DFE">
              <w:rPr>
                <w:color w:val="000000"/>
                <w:lang w:val="uk-UA"/>
              </w:rPr>
              <w:t>, 9 мг/</w:t>
            </w:r>
            <w:proofErr w:type="spellStart"/>
            <w:r w:rsidRPr="00205DFE">
              <w:rPr>
                <w:color w:val="000000"/>
                <w:lang w:val="uk-UA"/>
              </w:rPr>
              <w:t>мл</w:t>
            </w:r>
            <w:proofErr w:type="spellEnd"/>
            <w:r w:rsidRPr="00205DFE">
              <w:rPr>
                <w:color w:val="000000"/>
                <w:lang w:val="uk-UA"/>
              </w:rPr>
              <w:t xml:space="preserve"> по 200 </w:t>
            </w:r>
            <w:proofErr w:type="spellStart"/>
            <w:r w:rsidRPr="00205DFE">
              <w:rPr>
                <w:color w:val="000000"/>
                <w:lang w:val="uk-UA"/>
              </w:rPr>
              <w:t>мл</w:t>
            </w:r>
            <w:proofErr w:type="spellEnd"/>
            <w:r w:rsidRPr="00205DFE">
              <w:rPr>
                <w:color w:val="000000"/>
                <w:lang w:val="uk-UA"/>
              </w:rPr>
              <w:t xml:space="preserve"> у контейнері полімерному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контейнер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1000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205DFE" w:rsidP="00F5308E">
            <w:pPr>
              <w:rPr>
                <w:color w:val="000000"/>
              </w:rPr>
            </w:pPr>
            <w:proofErr w:type="spellStart"/>
            <w:r w:rsidRPr="00205DFE">
              <w:rPr>
                <w:color w:val="000000"/>
              </w:rPr>
              <w:t>Натрію</w:t>
            </w:r>
            <w:proofErr w:type="spellEnd"/>
            <w:r w:rsidRPr="00205DFE">
              <w:rPr>
                <w:color w:val="000000"/>
              </w:rPr>
              <w:t xml:space="preserve"> хлорид </w:t>
            </w:r>
            <w:proofErr w:type="spellStart"/>
            <w:r w:rsidRPr="00205DFE">
              <w:rPr>
                <w:color w:val="000000"/>
              </w:rPr>
              <w:t>розчин</w:t>
            </w:r>
            <w:proofErr w:type="spellEnd"/>
            <w:r w:rsidRPr="00205DFE">
              <w:rPr>
                <w:color w:val="000000"/>
              </w:rPr>
              <w:t xml:space="preserve"> для </w:t>
            </w:r>
            <w:proofErr w:type="spellStart"/>
            <w:r w:rsidRPr="00205DFE">
              <w:rPr>
                <w:color w:val="000000"/>
              </w:rPr>
              <w:t>інфузій</w:t>
            </w:r>
            <w:proofErr w:type="spellEnd"/>
            <w:r w:rsidRPr="00205DFE">
              <w:rPr>
                <w:color w:val="000000"/>
              </w:rPr>
              <w:t xml:space="preserve"> 9мг/мл по 400 мл </w:t>
            </w:r>
            <w:proofErr w:type="gramStart"/>
            <w:r w:rsidRPr="00205DFE">
              <w:rPr>
                <w:color w:val="000000"/>
              </w:rPr>
              <w:t>у</w:t>
            </w:r>
            <w:proofErr w:type="gramEnd"/>
            <w:r w:rsidRPr="00205DFE">
              <w:rPr>
                <w:color w:val="000000"/>
              </w:rPr>
              <w:t xml:space="preserve"> </w:t>
            </w:r>
            <w:r w:rsidR="006F4C1F">
              <w:t xml:space="preserve"> </w:t>
            </w:r>
            <w:proofErr w:type="spellStart"/>
            <w:proofErr w:type="gramStart"/>
            <w:r w:rsidR="006F4C1F" w:rsidRPr="006F4C1F">
              <w:rPr>
                <w:color w:val="000000"/>
              </w:rPr>
              <w:t>контейнер</w:t>
            </w:r>
            <w:proofErr w:type="gramEnd"/>
            <w:r w:rsidR="006F4C1F" w:rsidRPr="006F4C1F">
              <w:rPr>
                <w:color w:val="000000"/>
              </w:rPr>
              <w:t>і</w:t>
            </w:r>
            <w:proofErr w:type="spellEnd"/>
            <w:r w:rsidR="006F4C1F" w:rsidRPr="006F4C1F">
              <w:rPr>
                <w:color w:val="000000"/>
              </w:rPr>
              <w:t xml:space="preserve"> </w:t>
            </w:r>
            <w:proofErr w:type="spellStart"/>
            <w:r w:rsidR="006F4C1F" w:rsidRPr="006F4C1F">
              <w:rPr>
                <w:color w:val="000000"/>
              </w:rPr>
              <w:t>полімерному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205DFE" w:rsidP="00F5308E">
            <w:pPr>
              <w:rPr>
                <w:color w:val="000000"/>
              </w:rPr>
            </w:pPr>
            <w:proofErr w:type="spellStart"/>
            <w:r w:rsidRPr="00205DFE">
              <w:rPr>
                <w:color w:val="000000"/>
              </w:rPr>
              <w:t>Натрію</w:t>
            </w:r>
            <w:proofErr w:type="spellEnd"/>
            <w:r w:rsidRPr="00205DFE">
              <w:rPr>
                <w:color w:val="000000"/>
              </w:rPr>
              <w:t xml:space="preserve"> хлорид </w:t>
            </w:r>
            <w:proofErr w:type="spellStart"/>
            <w:r w:rsidRPr="00205DFE">
              <w:rPr>
                <w:color w:val="000000"/>
              </w:rPr>
              <w:t>розчин</w:t>
            </w:r>
            <w:proofErr w:type="spellEnd"/>
            <w:r w:rsidRPr="00205DFE">
              <w:rPr>
                <w:color w:val="000000"/>
              </w:rPr>
              <w:t xml:space="preserve"> для </w:t>
            </w:r>
            <w:proofErr w:type="spellStart"/>
            <w:r w:rsidRPr="00205DFE">
              <w:rPr>
                <w:color w:val="000000"/>
              </w:rPr>
              <w:t>інфузій</w:t>
            </w:r>
            <w:proofErr w:type="spellEnd"/>
            <w:r w:rsidRPr="00205DFE">
              <w:rPr>
                <w:color w:val="000000"/>
              </w:rPr>
              <w:t xml:space="preserve"> 9мг/мл по 400 мл у </w:t>
            </w:r>
            <w:proofErr w:type="spellStart"/>
            <w:r w:rsidRPr="00205DFE">
              <w:rPr>
                <w:color w:val="000000"/>
              </w:rPr>
              <w:t>пляшках</w:t>
            </w:r>
            <w:proofErr w:type="spellEnd"/>
            <w:r w:rsidRPr="00205DFE">
              <w:rPr>
                <w:color w:val="000000"/>
              </w:rPr>
              <w:t xml:space="preserve"> </w:t>
            </w:r>
            <w:proofErr w:type="spellStart"/>
            <w:r w:rsidRPr="00205DFE">
              <w:rPr>
                <w:color w:val="000000"/>
              </w:rPr>
              <w:t>скляних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пляшка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1D0AB9" w:rsidRDefault="00205DFE" w:rsidP="00F5308E">
            <w:pPr>
              <w:rPr>
                <w:color w:val="000000"/>
                <w:lang w:val="uk-UA"/>
              </w:rPr>
            </w:pPr>
            <w:proofErr w:type="spellStart"/>
            <w:r w:rsidRPr="00205DFE">
              <w:rPr>
                <w:color w:val="000000"/>
              </w:rPr>
              <w:t>Натрію</w:t>
            </w:r>
            <w:proofErr w:type="spellEnd"/>
            <w:r w:rsidRPr="00205DFE">
              <w:rPr>
                <w:color w:val="000000"/>
              </w:rPr>
              <w:t xml:space="preserve"> хлорид </w:t>
            </w:r>
            <w:proofErr w:type="spellStart"/>
            <w:r w:rsidRPr="00205DFE">
              <w:rPr>
                <w:color w:val="000000"/>
              </w:rPr>
              <w:t>розчин</w:t>
            </w:r>
            <w:proofErr w:type="spellEnd"/>
            <w:r w:rsidRPr="00205DFE">
              <w:rPr>
                <w:color w:val="000000"/>
              </w:rPr>
              <w:t xml:space="preserve"> для </w:t>
            </w:r>
            <w:proofErr w:type="spellStart"/>
            <w:r w:rsidRPr="00205DFE">
              <w:rPr>
                <w:color w:val="000000"/>
              </w:rPr>
              <w:t>інфузій</w:t>
            </w:r>
            <w:proofErr w:type="spellEnd"/>
            <w:r w:rsidRPr="00205DFE">
              <w:rPr>
                <w:color w:val="000000"/>
              </w:rPr>
              <w:t xml:space="preserve">, 9 мг/мл по 100 мл </w:t>
            </w:r>
            <w:proofErr w:type="gramStart"/>
            <w:r w:rsidRPr="00205DFE">
              <w:rPr>
                <w:color w:val="000000"/>
              </w:rPr>
              <w:t>у</w:t>
            </w:r>
            <w:proofErr w:type="gramEnd"/>
            <w:r w:rsidRPr="00205DFE">
              <w:rPr>
                <w:color w:val="000000"/>
              </w:rPr>
              <w:t xml:space="preserve"> </w:t>
            </w:r>
            <w:proofErr w:type="gramStart"/>
            <w:r w:rsidRPr="00205DFE">
              <w:rPr>
                <w:color w:val="000000"/>
              </w:rPr>
              <w:t>контейнерах</w:t>
            </w:r>
            <w:proofErr w:type="gramEnd"/>
            <w:r w:rsidRPr="00205DFE">
              <w:rPr>
                <w:color w:val="000000"/>
              </w:rPr>
              <w:t xml:space="preserve"> </w:t>
            </w:r>
            <w:proofErr w:type="spellStart"/>
            <w:r w:rsidRPr="00205DFE">
              <w:rPr>
                <w:color w:val="000000"/>
              </w:rPr>
              <w:t>полімерних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контейнер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400</w:t>
            </w:r>
          </w:p>
        </w:tc>
      </w:tr>
      <w:tr w:rsidR="00F5308E" w:rsidRPr="005D2472" w:rsidTr="00F5308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8E" w:rsidRPr="005D2472" w:rsidRDefault="00F5308E" w:rsidP="00F5308E">
            <w:pPr>
              <w:numPr>
                <w:ilvl w:val="0"/>
                <w:numId w:val="3"/>
              </w:numPr>
              <w:tabs>
                <w:tab w:val="left" w:pos="2715"/>
              </w:tabs>
              <w:contextualSpacing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9003FE" w:rsidRDefault="00205DFE" w:rsidP="00F5308E">
            <w:pPr>
              <w:rPr>
                <w:color w:val="000000"/>
              </w:rPr>
            </w:pPr>
            <w:proofErr w:type="spellStart"/>
            <w:r w:rsidRPr="00205DFE">
              <w:rPr>
                <w:color w:val="000000"/>
              </w:rPr>
              <w:t>Калію</w:t>
            </w:r>
            <w:proofErr w:type="spellEnd"/>
            <w:r w:rsidRPr="00205DFE">
              <w:rPr>
                <w:color w:val="000000"/>
              </w:rPr>
              <w:t xml:space="preserve"> хлорид концентрат для </w:t>
            </w:r>
            <w:proofErr w:type="spellStart"/>
            <w:r w:rsidRPr="00205DFE">
              <w:rPr>
                <w:color w:val="000000"/>
              </w:rPr>
              <w:t>розчину</w:t>
            </w:r>
            <w:proofErr w:type="spellEnd"/>
            <w:r w:rsidRPr="00205DFE">
              <w:rPr>
                <w:color w:val="000000"/>
              </w:rPr>
              <w:t xml:space="preserve"> для </w:t>
            </w:r>
            <w:proofErr w:type="spellStart"/>
            <w:r w:rsidRPr="00205DFE">
              <w:rPr>
                <w:color w:val="000000"/>
              </w:rPr>
              <w:t>інфузій</w:t>
            </w:r>
            <w:proofErr w:type="spellEnd"/>
            <w:r w:rsidRPr="00205DFE">
              <w:rPr>
                <w:color w:val="000000"/>
              </w:rPr>
              <w:t xml:space="preserve"> 75 мг/мл по 20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флакон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8E" w:rsidRPr="00205DFE" w:rsidRDefault="00205DFE" w:rsidP="00F5308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</w:t>
            </w:r>
          </w:p>
        </w:tc>
      </w:tr>
    </w:tbl>
    <w:p w:rsidR="00A519F4" w:rsidRPr="00E01496" w:rsidRDefault="00A519F4" w:rsidP="00A519F4">
      <w:pPr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F5308E" w:rsidRDefault="00F5308E" w:rsidP="00A519F4">
      <w:pPr>
        <w:spacing w:line="360" w:lineRule="auto"/>
        <w:ind w:firstLine="567"/>
        <w:jc w:val="both"/>
        <w:rPr>
          <w:rFonts w:ascii="Times New Roman" w:hAnsi="Times New Roman" w:cs="Times New Roman"/>
          <w:lang w:val="uk-UA" w:eastAsia="zh-CN"/>
        </w:rPr>
      </w:pPr>
    </w:p>
    <w:p w:rsidR="00A519F4" w:rsidRPr="006F4C1F" w:rsidRDefault="00A519F4" w:rsidP="006F4C1F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lang w:val="uk-UA" w:eastAsia="zh-CN"/>
        </w:rPr>
      </w:pPr>
      <w:r w:rsidRPr="006F4C1F">
        <w:rPr>
          <w:rFonts w:ascii="Times New Roman" w:hAnsi="Times New Roman" w:cs="Times New Roman"/>
          <w:lang w:val="uk-UA" w:eastAsia="zh-CN"/>
        </w:rPr>
        <w:t>Учасник несе відповідальність за якість і кількість товарів, своєчасність поставки, та надає всі необхідні супровідні документи.</w:t>
      </w:r>
    </w:p>
    <w:p w:rsidR="00F5308E" w:rsidRDefault="00F5308E" w:rsidP="006F4C1F">
      <w:pPr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lang w:val="uk-UA" w:eastAsia="en-US"/>
        </w:rPr>
      </w:pPr>
      <w:r w:rsidRPr="00F5308E">
        <w:rPr>
          <w:rFonts w:ascii="Times New Roman" w:eastAsia="Calibri" w:hAnsi="Times New Roman" w:cs="Times New Roman"/>
          <w:lang w:val="uk-UA" w:eastAsia="en-US"/>
        </w:rPr>
        <w:t xml:space="preserve">. </w:t>
      </w:r>
      <w:r w:rsidR="006F4C1F">
        <w:rPr>
          <w:rFonts w:ascii="Times New Roman" w:eastAsia="Calibri" w:hAnsi="Times New Roman" w:cs="Times New Roman"/>
          <w:lang w:val="uk-UA" w:eastAsia="en-US"/>
        </w:rPr>
        <w:t>Т</w:t>
      </w:r>
      <w:r w:rsidR="00A519F4" w:rsidRPr="00F5308E">
        <w:rPr>
          <w:rFonts w:ascii="Times New Roman" w:eastAsia="Calibri" w:hAnsi="Times New Roman" w:cs="Times New Roman"/>
          <w:lang w:val="uk-UA" w:eastAsia="en-US"/>
        </w:rPr>
        <w:t xml:space="preserve">ермін придатності товару на момент </w:t>
      </w:r>
      <w:r w:rsidR="006F4C1F">
        <w:rPr>
          <w:rFonts w:ascii="Times New Roman" w:eastAsia="Calibri" w:hAnsi="Times New Roman" w:cs="Times New Roman"/>
          <w:lang w:val="uk-UA" w:eastAsia="en-US"/>
        </w:rPr>
        <w:t>поставки повинен бути не менше 7</w:t>
      </w:r>
      <w:r w:rsidR="00A519F4" w:rsidRPr="00F5308E">
        <w:rPr>
          <w:rFonts w:ascii="Times New Roman" w:eastAsia="Calibri" w:hAnsi="Times New Roman" w:cs="Times New Roman"/>
          <w:lang w:val="uk-UA" w:eastAsia="en-US"/>
        </w:rPr>
        <w:t>0% від терміну визначеного виробником,</w:t>
      </w:r>
      <w:r w:rsidR="006F4C1F">
        <w:rPr>
          <w:rFonts w:ascii="Times New Roman" w:eastAsia="Calibri" w:hAnsi="Times New Roman" w:cs="Times New Roman"/>
          <w:lang w:val="uk-UA" w:eastAsia="en-US"/>
        </w:rPr>
        <w:t xml:space="preserve"> або 12 місяців від загального строку придатності.</w:t>
      </w:r>
      <w:r w:rsidR="00A519F4" w:rsidRPr="00F5308E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Pr="00F5308E">
        <w:rPr>
          <w:rFonts w:ascii="Times New Roman" w:eastAsia="Calibri" w:hAnsi="Times New Roman" w:cs="Times New Roman"/>
          <w:lang w:val="uk-UA" w:eastAsia="en-US"/>
        </w:rPr>
        <w:t xml:space="preserve">Якщо протягом строку придатності товар виявиться дефектним, Постачальник зобов’язаний замінити дефектний товар. Всі витрати, пов’язані із заміною товару, неналежною якості, несе Постачальник. </w:t>
      </w:r>
    </w:p>
    <w:p w:rsidR="00506E19" w:rsidRDefault="009448D4" w:rsidP="006F4C1F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360"/>
        <w:jc w:val="both"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506E19" w:rsidRPr="00506E19">
        <w:rPr>
          <w:rFonts w:ascii="Times New Roman" w:eastAsia="Calibri" w:hAnsi="Times New Roman" w:cs="Times New Roman"/>
          <w:lang w:val="uk-UA" w:eastAsia="en-US"/>
        </w:rPr>
        <w:t>Еквівалент не пропонувати. В разі подачі аналогів – пропозицію учасника буде відх</w:t>
      </w:r>
      <w:r w:rsidR="00506E19">
        <w:rPr>
          <w:rFonts w:ascii="Times New Roman" w:eastAsia="Calibri" w:hAnsi="Times New Roman" w:cs="Times New Roman"/>
          <w:lang w:val="uk-UA" w:eastAsia="en-US"/>
        </w:rPr>
        <w:t xml:space="preserve">илено на законних підставах. </w:t>
      </w:r>
    </w:p>
    <w:p w:rsidR="00901487" w:rsidRDefault="009448D4" w:rsidP="006F4C1F">
      <w:pPr>
        <w:widowControl/>
        <w:numPr>
          <w:ilvl w:val="0"/>
          <w:numId w:val="2"/>
        </w:numPr>
        <w:tabs>
          <w:tab w:val="clear" w:pos="720"/>
          <w:tab w:val="left" w:pos="426"/>
          <w:tab w:val="num" w:pos="567"/>
        </w:tabs>
        <w:suppressAutoHyphens w:val="0"/>
        <w:autoSpaceDE/>
        <w:ind w:left="0" w:firstLine="360"/>
        <w:jc w:val="both"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eastAsia="Calibri" w:hAnsi="Times New Roman" w:cs="Times New Roman"/>
          <w:lang w:val="uk-UA" w:eastAsia="en-US"/>
        </w:rPr>
        <w:t xml:space="preserve">    </w:t>
      </w:r>
      <w:r w:rsidR="00901487" w:rsidRPr="00901487">
        <w:rPr>
          <w:rFonts w:ascii="Times New Roman" w:eastAsia="Calibri" w:hAnsi="Times New Roman" w:cs="Times New Roman"/>
          <w:lang w:val="uk-UA" w:eastAsia="en-US"/>
        </w:rPr>
        <w:t xml:space="preserve">З метою запобігання закупівлі фальсифікатів лікарських засобів та отримання гарантій на своєчасне постачання Товару у необхідній кількості та якості, на момент укладення договору надається сканована копія оригіналу гарантійного листа від виробника (у разі якщо Товар не виробляється на території України - сканована копія оригіналу гарантійного листа від представника товаровиробника в Україна/дилера/дистриб’ютора офіційно уповноваженим на це виробником з наданням підтверджуючих документів від виробника щодо таких повноважень), яким підтверджуються можливість поставки Товару Постачальником згідно номенклатури, кількості, характеристик, зі строками придатності та в термін поставки, що визначені </w:t>
      </w:r>
      <w:r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901487" w:rsidRPr="00901487">
        <w:rPr>
          <w:rFonts w:ascii="Times New Roman" w:eastAsia="Calibri" w:hAnsi="Times New Roman" w:cs="Times New Roman"/>
          <w:lang w:val="uk-UA" w:eastAsia="en-US"/>
        </w:rPr>
        <w:t>Договором. Гарантійний лист повинен містити посилання на повну назву Постачальника, ідентифікатор закупівлі, назву предмету закупівлі та повинен адресуватися Покупцеві.</w:t>
      </w:r>
    </w:p>
    <w:p w:rsidR="00A519F4" w:rsidRPr="00E01496" w:rsidRDefault="00A519F4" w:rsidP="006F4C1F">
      <w:pPr>
        <w:tabs>
          <w:tab w:val="left" w:pos="0"/>
          <w:tab w:val="center" w:pos="4153"/>
          <w:tab w:val="right" w:pos="8306"/>
        </w:tabs>
        <w:rPr>
          <w:rFonts w:ascii="Times New Roman" w:hAnsi="Times New Roman" w:cs="Times New Roman"/>
          <w:b/>
          <w:bCs/>
          <w:lang w:val="uk-UA"/>
        </w:rPr>
      </w:pPr>
    </w:p>
    <w:p w:rsidR="00961CEE" w:rsidRDefault="00961CEE" w:rsidP="00A519F4"/>
    <w:sectPr w:rsidR="00961CEE" w:rsidSect="006F4C1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064"/>
    <w:multiLevelType w:val="hybridMultilevel"/>
    <w:tmpl w:val="63ECEDD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737"/>
    <w:multiLevelType w:val="hybridMultilevel"/>
    <w:tmpl w:val="B7B63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4F1312"/>
    <w:multiLevelType w:val="hybridMultilevel"/>
    <w:tmpl w:val="C0028E4E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1470FBE"/>
    <w:multiLevelType w:val="hybridMultilevel"/>
    <w:tmpl w:val="30F6B98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1B"/>
    <w:rsid w:val="001506CB"/>
    <w:rsid w:val="001A4732"/>
    <w:rsid w:val="00205DFE"/>
    <w:rsid w:val="00392A1B"/>
    <w:rsid w:val="00506E19"/>
    <w:rsid w:val="006F4C1F"/>
    <w:rsid w:val="007110CE"/>
    <w:rsid w:val="00901487"/>
    <w:rsid w:val="009448D4"/>
    <w:rsid w:val="00961CEE"/>
    <w:rsid w:val="00A519F4"/>
    <w:rsid w:val="00A75252"/>
    <w:rsid w:val="00F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8E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08E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5"/>
    <w:uiPriority w:val="39"/>
    <w:rsid w:val="00F5308E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8E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08E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5"/>
    <w:uiPriority w:val="39"/>
    <w:rsid w:val="00F5308E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2023-10-25T12:46:00Z</cp:lastPrinted>
  <dcterms:created xsi:type="dcterms:W3CDTF">2023-10-25T12:47:00Z</dcterms:created>
  <dcterms:modified xsi:type="dcterms:W3CDTF">2023-10-25T13:06:00Z</dcterms:modified>
</cp:coreProperties>
</file>