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86" w:rsidRPr="007C5B35" w:rsidRDefault="00660007" w:rsidP="007C5B35">
      <w:pPr>
        <w:spacing w:line="264" w:lineRule="auto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B35" w:rsidRPr="007C5B35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BC011C">
        <w:rPr>
          <w:rFonts w:ascii="Times New Roman" w:hAnsi="Times New Roman" w:cs="Times New Roman"/>
          <w:i/>
          <w:sz w:val="24"/>
          <w:szCs w:val="24"/>
        </w:rPr>
        <w:t>2</w:t>
      </w:r>
      <w:r w:rsidR="007C5B35" w:rsidRPr="007C5B35">
        <w:rPr>
          <w:rFonts w:ascii="Times New Roman" w:hAnsi="Times New Roman" w:cs="Times New Roman"/>
          <w:i/>
          <w:sz w:val="24"/>
          <w:szCs w:val="24"/>
        </w:rPr>
        <w:t xml:space="preserve"> до                                                                                                                                                                 тендерної документації                                                                                                   </w:t>
      </w:r>
    </w:p>
    <w:p w:rsidR="004F64E0" w:rsidRDefault="004F64E0" w:rsidP="004F64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1281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4E0" w:rsidRPr="006F61B3" w:rsidRDefault="004F64E0" w:rsidP="00054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4E0" w:rsidRPr="006F61B3" w:rsidRDefault="004F64E0" w:rsidP="00054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4E0" w:rsidRPr="006F61B3" w:rsidRDefault="004F64E0" w:rsidP="00054CA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4E0" w:rsidRPr="006F61B3" w:rsidRDefault="004F64E0" w:rsidP="00054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відсутність в учасника процедури закупівлі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такої </w:t>
            </w: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правопорушення або правопорушення, пов’язаного з корупцією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3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правопорушення є обмеженим, тому відповідно до пункту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має надати витяг або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інформаційну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довідку з Єдиного державного реєстру осіб, які вчинили корупційні правопорушення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який / яка оформлена на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керівника*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або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фізичну особу, яка є учасником процедури закупівлі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узгоджених дій, що стосуються спотворення результатів тендерів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5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6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підпункт 7 пункту 4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3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7D33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7D33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підпункт 8 пункту 4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9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10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D4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EE34EC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EE34EC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</w:t>
            </w:r>
            <w:r w:rsidR="008A6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передані в управління АРМА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12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(абзац 14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має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>надати:</w:t>
            </w:r>
          </w:p>
          <w:p w:rsidR="004F64E0" w:rsidRPr="006F61B3" w:rsidRDefault="004F64E0" w:rsidP="004F64E0">
            <w:pPr>
              <w:numPr>
                <w:ilvl w:val="0"/>
                <w:numId w:val="23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F64E0" w:rsidRPr="006F61B3" w:rsidRDefault="004F64E0" w:rsidP="00054CA2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 xml:space="preserve">або </w:t>
            </w:r>
          </w:p>
          <w:p w:rsidR="004F64E0" w:rsidRPr="006F61B3" w:rsidRDefault="004F64E0" w:rsidP="004F64E0">
            <w:pPr>
              <w:numPr>
                <w:ilvl w:val="0"/>
                <w:numId w:val="23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>учасник процедури закупівлі, що перебуває в обставинах, зазначених в абзаці 14 пункту 44 Особливо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 xml:space="preserve">тей, може надати підтвердження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F64E0" w:rsidRPr="006F61B3" w:rsidRDefault="004F64E0" w:rsidP="00054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</w:p>
          <w:p w:rsidR="004F64E0" w:rsidRPr="006F61B3" w:rsidRDefault="004F64E0" w:rsidP="00054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F64E0" w:rsidRDefault="004F64E0" w:rsidP="004F64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4E0" w:rsidRDefault="004F64E0" w:rsidP="004F6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4F64E0" w:rsidRDefault="004F64E0" w:rsidP="004F6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</w:t>
      </w:r>
      <w:r w:rsidRPr="00760DD4">
        <w:rPr>
          <w:rFonts w:ascii="Times New Roman" w:hAnsi="Times New Roman"/>
          <w:sz w:val="24"/>
          <w:szCs w:val="24"/>
        </w:rPr>
        <w:t>підпадає під підстави, встановлені пунктом 47 цих особливостей</w:t>
      </w:r>
      <w:r>
        <w:rPr>
          <w:rFonts w:ascii="Times New Roman" w:hAnsi="Times New Roman"/>
          <w:sz w:val="24"/>
          <w:szCs w:val="24"/>
        </w:rPr>
        <w:t>.</w:t>
      </w:r>
    </w:p>
    <w:p w:rsidR="004F64E0" w:rsidRDefault="004F64E0" w:rsidP="004F6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26ACB">
        <w:rPr>
          <w:rFonts w:ascii="Times New Roman" w:hAnsi="Times New Roman"/>
          <w:sz w:val="24"/>
          <w:szCs w:val="24"/>
        </w:rPr>
        <w:t xml:space="preserve">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чотирнадцятому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</w:t>
      </w:r>
      <w:r>
        <w:rPr>
          <w:rFonts w:ascii="Times New Roman" w:hAnsi="Times New Roman"/>
          <w:sz w:val="24"/>
          <w:szCs w:val="24"/>
        </w:rPr>
        <w:t>.</w:t>
      </w:r>
    </w:p>
    <w:p w:rsidR="00BC011C" w:rsidRPr="00885F68" w:rsidRDefault="00484883" w:rsidP="00885F68">
      <w:pPr>
        <w:jc w:val="both"/>
        <w:rPr>
          <w:rFonts w:ascii="Times New Roman" w:hAnsi="Times New Roman" w:cs="Times New Roman"/>
          <w:sz w:val="24"/>
          <w:szCs w:val="24"/>
        </w:rPr>
      </w:pPr>
      <w:r w:rsidRPr="000A697A">
        <w:rPr>
          <w:rFonts w:ascii="Times New Roman" w:hAnsi="Times New Roman" w:cs="Times New Roman"/>
          <w:sz w:val="24"/>
          <w:szCs w:val="24"/>
        </w:rPr>
        <w:t>У разі подання тендерної пропозиції об’єднанням учасників (в тому числі визначення об’єднання учасників переможцем процедури закупівлі) підтвердження відсутності підстав для відмови в участі у процедурі закупівлі, визначених пунктом 47 Особливостей,</w:t>
      </w:r>
      <w:r w:rsidRPr="000A697A" w:rsidDel="008F2952">
        <w:rPr>
          <w:rFonts w:ascii="Times New Roman" w:hAnsi="Times New Roman" w:cs="Times New Roman"/>
          <w:sz w:val="24"/>
          <w:szCs w:val="24"/>
        </w:rPr>
        <w:t xml:space="preserve"> </w:t>
      </w:r>
      <w:r w:rsidRPr="000A697A">
        <w:rPr>
          <w:rFonts w:ascii="Times New Roman" w:hAnsi="Times New Roman" w:cs="Times New Roman"/>
          <w:sz w:val="24"/>
          <w:szCs w:val="24"/>
        </w:rPr>
        <w:t>подається по кожному з учасників, які входять у склад об’єднання окремо.</w:t>
      </w: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296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C011C" w:rsidRPr="00C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520" w:hanging="5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680" w:hanging="5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840" w:hanging="54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9">
    <w:nsid w:val="00000014"/>
    <w:multiLevelType w:val="multilevel"/>
    <w:tmpl w:val="00000014"/>
    <w:lvl w:ilvl="0">
      <w:start w:val="3"/>
      <w:numFmt w:val="bullet"/>
      <w:lvlText w:val="-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520" w:hanging="54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3240" w:hanging="72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960" w:hanging="72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680" w:hanging="54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400" w:hanging="72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6120" w:hanging="72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840" w:hanging="540"/>
      </w:pPr>
      <w:rPr>
        <w:rFonts w:ascii="Noto Sans Symbols" w:eastAsia="Times New Roman" w:hAnsi="Noto Sans Symbols" w:cs="Noto Sans Symbol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21">
    <w:nsid w:val="509E7DC0"/>
    <w:multiLevelType w:val="multilevel"/>
    <w:tmpl w:val="255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5"/>
    <w:rsid w:val="000A697A"/>
    <w:rsid w:val="00296286"/>
    <w:rsid w:val="003951D3"/>
    <w:rsid w:val="00484883"/>
    <w:rsid w:val="004F64E0"/>
    <w:rsid w:val="005C75CE"/>
    <w:rsid w:val="005F6142"/>
    <w:rsid w:val="00660007"/>
    <w:rsid w:val="0066491C"/>
    <w:rsid w:val="00665634"/>
    <w:rsid w:val="006F00E2"/>
    <w:rsid w:val="006F7758"/>
    <w:rsid w:val="007C5B35"/>
    <w:rsid w:val="00877761"/>
    <w:rsid w:val="00885F68"/>
    <w:rsid w:val="00887E0C"/>
    <w:rsid w:val="008A6CE4"/>
    <w:rsid w:val="008C1B36"/>
    <w:rsid w:val="009700F2"/>
    <w:rsid w:val="00A22B51"/>
    <w:rsid w:val="00A510E2"/>
    <w:rsid w:val="00B93C46"/>
    <w:rsid w:val="00BC011C"/>
    <w:rsid w:val="00C11255"/>
    <w:rsid w:val="00C50F9E"/>
    <w:rsid w:val="00CA31B2"/>
    <w:rsid w:val="00CD3B32"/>
    <w:rsid w:val="00D3434B"/>
    <w:rsid w:val="00D67D46"/>
    <w:rsid w:val="00DB3481"/>
    <w:rsid w:val="00EE34EC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439E-8B32-4BD7-AABE-0D9E703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86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C011C"/>
    <w:pPr>
      <w:keepNext/>
      <w:keepLines/>
      <w:spacing w:before="480" w:after="120" w:line="240" w:lineRule="auto"/>
      <w:outlineLvl w:val="0"/>
    </w:pPr>
    <w:rPr>
      <w:rFonts w:eastAsia="Times New Roman"/>
      <w:b/>
      <w:bCs/>
      <w:color w:val="000000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C011C"/>
    <w:pPr>
      <w:keepNext/>
      <w:keepLines/>
      <w:spacing w:before="360" w:after="80" w:line="240" w:lineRule="auto"/>
      <w:outlineLvl w:val="1"/>
    </w:pPr>
    <w:rPr>
      <w:rFonts w:eastAsia="Times New Roman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BC011C"/>
    <w:pPr>
      <w:keepNext/>
      <w:keepLines/>
      <w:spacing w:before="280" w:after="80" w:line="240" w:lineRule="auto"/>
      <w:outlineLvl w:val="2"/>
    </w:pPr>
    <w:rPr>
      <w:rFonts w:eastAsia="Times New Roman"/>
      <w:b/>
      <w:bCs/>
      <w:color w:val="000000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BC011C"/>
    <w:pPr>
      <w:keepNext/>
      <w:keepLines/>
      <w:spacing w:before="240" w:after="40" w:line="240" w:lineRule="auto"/>
      <w:outlineLvl w:val="3"/>
    </w:pPr>
    <w:rPr>
      <w:rFonts w:eastAsia="Times New Roman"/>
      <w:b/>
      <w:bCs/>
      <w:color w:val="000000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BC011C"/>
    <w:pPr>
      <w:keepNext/>
      <w:keepLines/>
      <w:spacing w:before="220" w:after="40" w:line="240" w:lineRule="auto"/>
      <w:outlineLvl w:val="4"/>
    </w:pPr>
    <w:rPr>
      <w:rFonts w:eastAsia="Times New Roman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BC011C"/>
    <w:pPr>
      <w:keepNext/>
      <w:keepLines/>
      <w:spacing w:before="200" w:after="40" w:line="240" w:lineRule="auto"/>
      <w:outlineLvl w:val="5"/>
    </w:pPr>
    <w:rPr>
      <w:rFonts w:eastAsia="Times New Roman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qFormat/>
    <w:rsid w:val="00D3434B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5">
    <w:name w:val="Підзаголовок Знак"/>
    <w:basedOn w:val="a0"/>
    <w:link w:val="a3"/>
    <w:uiPriority w:val="11"/>
    <w:rsid w:val="00D3434B"/>
    <w:rPr>
      <w:rFonts w:ascii="Arial" w:eastAsia="Lucida Sans Unicode" w:hAnsi="Arial" w:cs="Mangal"/>
      <w:i/>
      <w:iCs/>
      <w:sz w:val="28"/>
      <w:szCs w:val="28"/>
      <w:lang w:val="uk-UA" w:eastAsia="ar-SA"/>
    </w:rPr>
  </w:style>
  <w:style w:type="paragraph" w:styleId="a4">
    <w:name w:val="Body Text"/>
    <w:basedOn w:val="a"/>
    <w:link w:val="a6"/>
    <w:uiPriority w:val="99"/>
    <w:semiHidden/>
    <w:unhideWhenUsed/>
    <w:rsid w:val="00D343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ий текст Знак"/>
    <w:basedOn w:val="a0"/>
    <w:link w:val="a4"/>
    <w:uiPriority w:val="99"/>
    <w:semiHidden/>
    <w:rsid w:val="00D3434B"/>
    <w:rPr>
      <w:sz w:val="24"/>
      <w:szCs w:val="24"/>
      <w:lang w:val="uk-UA" w:eastAsia="ar-SA"/>
    </w:rPr>
  </w:style>
  <w:style w:type="character" w:styleId="a7">
    <w:name w:val="Strong"/>
    <w:uiPriority w:val="22"/>
    <w:qFormat/>
    <w:rsid w:val="00D3434B"/>
    <w:rPr>
      <w:b/>
      <w:bCs/>
    </w:rPr>
  </w:style>
  <w:style w:type="paragraph" w:customStyle="1" w:styleId="a8">
    <w:name w:val="Знак Знак Знак Знак"/>
    <w:basedOn w:val="a"/>
    <w:rsid w:val="002962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2962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11C"/>
    <w:rPr>
      <w:rFonts w:ascii="Calibri" w:hAnsi="Calibri" w:cs="Calibri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11C"/>
    <w:rPr>
      <w:rFonts w:ascii="Calibri" w:hAnsi="Calibri" w:cs="Calibri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11C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11C"/>
    <w:rPr>
      <w:rFonts w:ascii="Calibri" w:hAnsi="Calibri" w:cs="Calibri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011C"/>
    <w:rPr>
      <w:rFonts w:ascii="Calibri" w:hAnsi="Calibri" w:cs="Calibri"/>
      <w:b/>
      <w:bCs/>
      <w:color w:val="00000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011C"/>
    <w:rPr>
      <w:rFonts w:ascii="Calibri" w:hAnsi="Calibri" w:cs="Calibri"/>
      <w:b/>
      <w:bCs/>
      <w:color w:val="000000"/>
      <w:lang w:eastAsia="ru-RU"/>
    </w:rPr>
  </w:style>
  <w:style w:type="paragraph" w:styleId="aa">
    <w:name w:val="Title"/>
    <w:basedOn w:val="a"/>
    <w:link w:val="ab"/>
    <w:uiPriority w:val="10"/>
    <w:qFormat/>
    <w:rsid w:val="00BC011C"/>
    <w:pPr>
      <w:keepNext/>
      <w:keepLines/>
      <w:spacing w:before="480" w:after="120" w:line="240" w:lineRule="auto"/>
    </w:pPr>
    <w:rPr>
      <w:rFonts w:eastAsia="Times New Roman"/>
      <w:b/>
      <w:bCs/>
      <w:color w:val="000000"/>
      <w:sz w:val="72"/>
      <w:szCs w:val="72"/>
      <w:lang w:val="ru-RU" w:eastAsia="ru-RU"/>
    </w:rPr>
  </w:style>
  <w:style w:type="character" w:customStyle="1" w:styleId="ab">
    <w:name w:val="Назва Знак"/>
    <w:basedOn w:val="a0"/>
    <w:link w:val="aa"/>
    <w:uiPriority w:val="10"/>
    <w:rsid w:val="00BC011C"/>
    <w:rPr>
      <w:rFonts w:ascii="Calibri" w:hAnsi="Calibri" w:cs="Calibri"/>
      <w:b/>
      <w:bCs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Бугаєнко Людмила Вікторівна</dc:creator>
  <cp:keywords/>
  <dc:description/>
  <cp:lastModifiedBy>Щегельська Ольга Іванівна</cp:lastModifiedBy>
  <cp:revision>34</cp:revision>
  <dcterms:created xsi:type="dcterms:W3CDTF">2021-01-22T12:12:00Z</dcterms:created>
  <dcterms:modified xsi:type="dcterms:W3CDTF">2023-10-20T12:03:00Z</dcterms:modified>
</cp:coreProperties>
</file>