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881A29" w:rsidP="006A306D">
      <w:pPr>
        <w:jc w:val="center"/>
        <w:rPr>
          <w:rFonts w:ascii="Times New Roman" w:eastAsia="SimSun" w:hAnsi="Times New Roman" w:cs="Times New Roman"/>
          <w:sz w:val="24"/>
          <w:szCs w:val="24"/>
        </w:rPr>
      </w:pPr>
      <w:hyperlink r:id="rId9"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9A299A">
              <w:rPr>
                <w:rFonts w:ascii="Times New Roman" w:hAnsi="Times New Roman" w:cs="Times New Roman"/>
                <w:noProof/>
                <w:sz w:val="24"/>
                <w:szCs w:val="24"/>
                <w:lang w:val="uk-UA"/>
              </w:rPr>
              <w:t xml:space="preserve"> </w:t>
            </w:r>
            <w:r w:rsidR="002A7746">
              <w:rPr>
                <w:rFonts w:ascii="Times New Roman" w:hAnsi="Times New Roman" w:cs="Times New Roman"/>
                <w:noProof/>
                <w:sz w:val="24"/>
                <w:szCs w:val="24"/>
                <w:lang w:val="uk-UA"/>
              </w:rPr>
              <w:t>24</w:t>
            </w:r>
            <w:r>
              <w:rPr>
                <w:rFonts w:ascii="Times New Roman" w:hAnsi="Times New Roman" w:cs="Times New Roman"/>
                <w:noProof/>
                <w:sz w:val="24"/>
                <w:szCs w:val="24"/>
                <w:lang w:val="uk-UA"/>
              </w:rPr>
              <w:t xml:space="preserve">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6A306D" w:rsidRDefault="006A306D" w:rsidP="009A299A">
      <w:pPr>
        <w:spacing w:before="240" w:line="240" w:lineRule="auto"/>
        <w:jc w:val="center"/>
        <w:rPr>
          <w:rFonts w:ascii="Times New Roman" w:eastAsia="Times New Roman" w:hAnsi="Times New Roman" w:cs="Times New Roman"/>
          <w:color w:val="000000"/>
          <w:sz w:val="28"/>
          <w:szCs w:val="28"/>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5D289F">
        <w:rPr>
          <w:rFonts w:ascii="Times New Roman" w:eastAsia="Times New Roman" w:hAnsi="Times New Roman" w:cs="Times New Roman"/>
          <w:b/>
          <w:sz w:val="24"/>
          <w:szCs w:val="24"/>
          <w:lang w:val="uk-UA"/>
        </w:rPr>
        <w:t>-</w:t>
      </w:r>
      <w:r w:rsidRPr="005D289F">
        <w:rPr>
          <w:rFonts w:ascii="Times New Roman" w:eastAsia="Times New Roman" w:hAnsi="Times New Roman" w:cs="Times New Roman"/>
          <w:b/>
          <w:color w:val="000000"/>
          <w:sz w:val="24"/>
          <w:szCs w:val="24"/>
        </w:rPr>
        <w:t xml:space="preserve"> </w:t>
      </w:r>
      <w:r w:rsidR="005D289F" w:rsidRPr="005D289F">
        <w:rPr>
          <w:rFonts w:ascii="Times New Roman" w:hAnsi="Times New Roman" w:cs="Times New Roman"/>
          <w:b/>
          <w:sz w:val="24"/>
          <w:szCs w:val="24"/>
        </w:rPr>
        <w:t>90510000-5 - Утилізація/видалення сміття та поводження зі сміттям</w:t>
      </w:r>
      <w:r w:rsidR="007579D4" w:rsidRPr="005D289F">
        <w:rPr>
          <w:rFonts w:ascii="Times New Roman" w:hAnsi="Times New Roman" w:cs="Times New Roman"/>
          <w:b/>
          <w:sz w:val="24"/>
          <w:szCs w:val="24"/>
        </w:rPr>
        <w:t xml:space="preserve"> (Послуги з поводження з твердими побутовими відходами)</w:t>
      </w:r>
    </w:p>
    <w:p w:rsidR="006A306D" w:rsidRDefault="006A306D" w:rsidP="006A306D">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6A306D" w:rsidRDefault="006A306D" w:rsidP="006A306D">
            <w:pPr>
              <w:spacing w:before="240" w:line="240" w:lineRule="auto"/>
              <w:jc w:val="center"/>
              <w:rPr>
                <w:rFonts w:ascii="Times New Roman" w:eastAsia="Times New Roman" w:hAnsi="Times New Roman" w:cs="Times New Roman"/>
                <w:color w:val="000000"/>
                <w:sz w:val="28"/>
                <w:szCs w:val="28"/>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b/>
          <w:color w:val="000000"/>
          <w:sz w:val="32"/>
          <w:szCs w:val="32"/>
          <w:lang w:val="uk-UA"/>
        </w:rPr>
      </w:pPr>
    </w:p>
    <w:p w:rsidR="006A306D" w:rsidRDefault="006A306D" w:rsidP="006A306D">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6A306D" w:rsidRDefault="006A306D" w:rsidP="006A306D">
      <w:pPr>
        <w:spacing w:line="240" w:lineRule="auto"/>
        <w:rPr>
          <w:rFonts w:ascii="Times New Roman" w:eastAsia="Times New Roman" w:hAnsi="Times New Roman" w:cs="Times New Roman"/>
          <w:color w:val="000000"/>
          <w:sz w:val="32"/>
          <w:szCs w:val="32"/>
        </w:rPr>
      </w:pPr>
    </w:p>
    <w:p w:rsidR="006A306D" w:rsidRDefault="006A306D" w:rsidP="006A306D">
      <w:pPr>
        <w:spacing w:line="240" w:lineRule="auto"/>
        <w:rPr>
          <w:rFonts w:ascii="Times New Roman" w:eastAsia="Times New Roman" w:hAnsi="Times New Roman" w:cs="Times New Roman"/>
          <w:color w:val="000000"/>
          <w:sz w:val="32"/>
          <w:szCs w:val="32"/>
          <w:lang w:val="uk-UA"/>
        </w:rPr>
      </w:pPr>
    </w:p>
    <w:p w:rsidR="009A299A" w:rsidRDefault="009A299A" w:rsidP="006A306D">
      <w:pPr>
        <w:spacing w:line="240" w:lineRule="auto"/>
        <w:rPr>
          <w:rFonts w:ascii="Times New Roman" w:eastAsia="Times New Roman" w:hAnsi="Times New Roman" w:cs="Times New Roman"/>
          <w:color w:val="000000"/>
          <w:sz w:val="32"/>
          <w:szCs w:val="32"/>
          <w:lang w:val="uk-UA"/>
        </w:rPr>
      </w:pPr>
    </w:p>
    <w:p w:rsidR="009A299A" w:rsidRDefault="009A299A" w:rsidP="006A306D">
      <w:pPr>
        <w:spacing w:line="240" w:lineRule="auto"/>
        <w:rPr>
          <w:rFonts w:ascii="Times New Roman" w:eastAsia="Times New Roman" w:hAnsi="Times New Roman" w:cs="Times New Roman"/>
          <w:color w:val="000000"/>
          <w:sz w:val="32"/>
          <w:szCs w:val="32"/>
          <w:lang w:val="uk-UA"/>
        </w:rPr>
      </w:pPr>
    </w:p>
    <w:p w:rsidR="006A306D" w:rsidRDefault="006A306D" w:rsidP="006A306D">
      <w:pPr>
        <w:spacing w:line="240" w:lineRule="auto"/>
        <w:jc w:val="center"/>
        <w:rPr>
          <w:rFonts w:ascii="Times New Roman" w:eastAsia="Times New Roman" w:hAnsi="Times New Roman" w:cs="Times New Roman"/>
          <w:color w:val="000000"/>
          <w:sz w:val="32"/>
          <w:szCs w:val="32"/>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0"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9A299A" w:rsidRDefault="006A306D" w:rsidP="009A299A">
            <w:pPr>
              <w:spacing w:before="240" w:line="240" w:lineRule="auto"/>
              <w:jc w:val="center"/>
              <w:rPr>
                <w:rFonts w:ascii="Times New Roman" w:eastAsia="Times New Roman" w:hAnsi="Times New Roman" w:cs="Times New Roman"/>
                <w:color w:val="000000"/>
                <w:sz w:val="24"/>
                <w:szCs w:val="24"/>
                <w:lang w:val="uk-UA"/>
              </w:rPr>
            </w:pPr>
            <w:r w:rsidRPr="00FE3D72">
              <w:rPr>
                <w:rFonts w:ascii="Times New Roman" w:eastAsia="Times New Roman" w:hAnsi="Times New Roman" w:cs="Times New Roman"/>
                <w:b/>
                <w:sz w:val="24"/>
                <w:szCs w:val="24"/>
                <w:lang w:val="uk-UA"/>
              </w:rPr>
              <w:t>код за</w:t>
            </w:r>
            <w:r w:rsidRPr="00FE3D72">
              <w:rPr>
                <w:rFonts w:ascii="Times New Roman" w:eastAsia="Times New Roman" w:hAnsi="Times New Roman" w:cs="Times New Roman"/>
                <w:b/>
                <w:sz w:val="24"/>
                <w:szCs w:val="24"/>
              </w:rPr>
              <w:t xml:space="preserve"> ДК 021:2015</w:t>
            </w:r>
            <w:r w:rsidR="009A299A">
              <w:rPr>
                <w:rFonts w:ascii="Times New Roman" w:eastAsia="Times New Roman" w:hAnsi="Times New Roman" w:cs="Times New Roman"/>
                <w:b/>
                <w:sz w:val="24"/>
                <w:szCs w:val="24"/>
                <w:lang w:val="uk-UA"/>
              </w:rPr>
              <w:t>-</w:t>
            </w:r>
            <w:r w:rsidR="005D289F" w:rsidRPr="005D289F">
              <w:rPr>
                <w:rFonts w:ascii="Times New Roman" w:hAnsi="Times New Roman" w:cs="Times New Roman"/>
                <w:b/>
                <w:sz w:val="24"/>
                <w:szCs w:val="24"/>
              </w:rPr>
              <w:t>90510000-5 - Утилізація/видалення сміття та поводження зі сміттям (Послуги з поводження з твердими побутовими відходами)</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8710E3" w:rsidRDefault="006A306D" w:rsidP="007579D4">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9A299A">
              <w:rPr>
                <w:rFonts w:ascii="Times New Roman" w:hAnsi="Times New Roman" w:cs="Times New Roman"/>
                <w:b/>
                <w:color w:val="000000"/>
                <w:sz w:val="24"/>
                <w:szCs w:val="24"/>
                <w:u w:val="single"/>
                <w:lang w:val="uk-UA"/>
              </w:rPr>
              <w:t xml:space="preserve">: </w:t>
            </w:r>
            <w:r w:rsidR="007579D4">
              <w:rPr>
                <w:rFonts w:ascii="Times New Roman" w:hAnsi="Times New Roman" w:cs="Times New Roman"/>
                <w:b/>
                <w:color w:val="000000"/>
                <w:sz w:val="24"/>
                <w:szCs w:val="24"/>
                <w:u w:val="single"/>
                <w:lang w:val="uk-UA"/>
              </w:rPr>
              <w:t>554</w:t>
            </w:r>
            <w:r w:rsidR="00574418">
              <w:rPr>
                <w:rFonts w:ascii="Times New Roman" w:hAnsi="Times New Roman" w:cs="Times New Roman"/>
                <w:b/>
                <w:color w:val="000000"/>
                <w:sz w:val="24"/>
                <w:szCs w:val="24"/>
                <w:u w:val="single"/>
                <w:lang w:val="uk-UA"/>
              </w:rPr>
              <w:t xml:space="preserve"> </w:t>
            </w:r>
            <w:r w:rsidR="007579D4" w:rsidRPr="007579D4">
              <w:rPr>
                <w:rFonts w:ascii="Times New Roman" w:hAnsi="Times New Roman"/>
                <w:b/>
                <w:sz w:val="24"/>
                <w:szCs w:val="24"/>
                <w:u w:val="single"/>
              </w:rPr>
              <w:t>м</w:t>
            </w:r>
            <w:r w:rsidR="007579D4" w:rsidRPr="007579D4">
              <w:rPr>
                <w:rFonts w:ascii="Times New Roman" w:hAnsi="Times New Roman"/>
                <w:b/>
                <w:sz w:val="24"/>
                <w:szCs w:val="24"/>
                <w:u w:val="single"/>
                <w:vertAlign w:val="superscript"/>
              </w:rPr>
              <w:t>3</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6A306D">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Pr="006A306D">
              <w:rPr>
                <w:rFonts w:ascii="Times New Roman" w:eastAsia="Times New Roman" w:hAnsi="Times New Roman" w:cs="Times New Roman"/>
                <w:b/>
                <w:color w:val="000000"/>
                <w:sz w:val="24"/>
                <w:szCs w:val="24"/>
                <w:highlight w:val="yellow"/>
                <w:lang w:val="uk-UA"/>
              </w:rPr>
              <w:t>20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w:t>
            </w:r>
            <w:r>
              <w:rPr>
                <w:rFonts w:ascii="Times New Roman" w:eastAsia="Times New Roman" w:hAnsi="Times New Roman" w:cs="Times New Roman"/>
                <w:color w:val="000000"/>
                <w:sz w:val="24"/>
                <w:szCs w:val="24"/>
              </w:rPr>
              <w:lastRenderedPageBreak/>
              <w:t>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lastRenderedPageBreak/>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ід вартості 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11. Подання документа (документів) учасником процедури </w:t>
            </w:r>
            <w:r>
              <w:rPr>
                <w:rFonts w:ascii="Times New Roman" w:eastAsia="Times New Roman" w:hAnsi="Times New Roman" w:cs="Times New Roman"/>
                <w:i/>
                <w:color w:val="000000"/>
                <w:sz w:val="24"/>
                <w:szCs w:val="24"/>
              </w:rPr>
              <w:lastRenderedPageBreak/>
              <w:t>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1"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w:t>
            </w:r>
            <w:r>
              <w:rPr>
                <w:rFonts w:ascii="Times New Roman" w:eastAsia="Times New Roman" w:hAnsi="Times New Roman" w:cs="Times New Roman"/>
                <w:color w:val="000000"/>
                <w:sz w:val="24"/>
                <w:szCs w:val="24"/>
              </w:rPr>
              <w:lastRenderedPageBreak/>
              <w:t>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2"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3"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7"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w:t>
            </w:r>
            <w:r>
              <w:rPr>
                <w:rFonts w:ascii="Times New Roman" w:eastAsia="Times New Roman" w:hAnsi="Times New Roman" w:cs="Times New Roman"/>
                <w:color w:val="000000"/>
                <w:sz w:val="24"/>
                <w:szCs w:val="24"/>
              </w:rPr>
              <w:lastRenderedPageBreak/>
              <w:t xml:space="preserve">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ED4BA3">
            <w:pPr>
              <w:spacing w:line="240" w:lineRule="auto"/>
              <w:ind w:firstLine="281"/>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w:t>
            </w:r>
            <w:r>
              <w:rPr>
                <w:rFonts w:ascii="Times New Roman" w:eastAsia="Times New Roman" w:hAnsi="Times New Roman" w:cs="Times New Roman"/>
                <w:color w:val="000000"/>
                <w:sz w:val="24"/>
                <w:szCs w:val="24"/>
              </w:rPr>
              <w:lastRenderedPageBreak/>
              <w:t>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визнаний в установленому законом порядку банкрутом та стосовно нього відкрита 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 xml:space="preserve">і юридичних осіб, фізичних осіб — підприємців та громадських формувань відсутня </w:t>
            </w:r>
            <w:r w:rsidRPr="006A306D">
              <w:rPr>
                <w:rFonts w:eastAsia="sans-serif"/>
                <w:highlight w:val="yellow"/>
                <w:lang w:val="ru-RU"/>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lastRenderedPageBreak/>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8">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9">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w:t>
            </w:r>
            <w:r>
              <w:rPr>
                <w:rFonts w:ascii="Times New Roman" w:eastAsia="Times New Roman" w:hAnsi="Times New Roman" w:cs="Times New Roman"/>
                <w:sz w:val="24"/>
                <w:szCs w:val="24"/>
                <w:highlight w:val="yellow"/>
              </w:rPr>
              <w:lastRenderedPageBreak/>
              <w:t xml:space="preserve">про притягнення особи до кримінальної відповідальності та наявності судимості” з електронного сервісу мвс </w:t>
            </w:r>
            <w:hyperlink r:id="rId20">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1">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w:t>
            </w:r>
            <w:r>
              <w:rPr>
                <w:rFonts w:ascii="Times New Roman" w:eastAsia="Times New Roman" w:hAnsi="Times New Roman" w:cs="Times New Roman"/>
                <w:color w:val="000000"/>
                <w:sz w:val="24"/>
                <w:szCs w:val="24"/>
              </w:rPr>
              <w:lastRenderedPageBreak/>
              <w:t>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w:t>
            </w:r>
            <w:r>
              <w:rPr>
                <w:rFonts w:ascii="Times New Roman" w:eastAsia="Times New Roman" w:hAnsi="Times New Roman" w:cs="Times New Roman"/>
                <w:color w:val="000000"/>
                <w:sz w:val="24"/>
                <w:szCs w:val="24"/>
              </w:rPr>
              <w:lastRenderedPageBreak/>
              <w:t>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w:t>
            </w:r>
            <w:r>
              <w:rPr>
                <w:rFonts w:ascii="Times New Roman" w:eastAsia="Times New Roman" w:hAnsi="Times New Roman" w:cs="Times New Roman"/>
                <w:color w:val="000000"/>
                <w:sz w:val="24"/>
                <w:szCs w:val="24"/>
              </w:rPr>
              <w:lastRenderedPageBreak/>
              <w:t xml:space="preserve">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w:t>
            </w:r>
            <w:r w:rsidRPr="003A404F">
              <w:rPr>
                <w:rFonts w:ascii="Times New Roman" w:eastAsia="Times New Roman" w:hAnsi="Times New Roman" w:cs="Times New Roman"/>
                <w:color w:val="000000"/>
                <w:sz w:val="24"/>
                <w:szCs w:val="24"/>
                <w:highlight w:val="green"/>
              </w:rPr>
              <w:lastRenderedPageBreak/>
              <w:t>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Pr>
                <w:rFonts w:ascii="Times New Roman" w:eastAsia="Times New Roman" w:hAnsi="Times New Roman" w:cs="Times New Roman"/>
                <w:color w:val="000000"/>
                <w:sz w:val="24"/>
                <w:szCs w:val="24"/>
              </w:rPr>
              <w:lastRenderedPageBreak/>
              <w:t>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w:t>
            </w:r>
            <w:r>
              <w:rPr>
                <w:rFonts w:ascii="Times New Roman" w:eastAsia="Times New Roman" w:hAnsi="Times New Roman" w:cs="Times New Roman"/>
                <w:color w:val="000000"/>
                <w:sz w:val="24"/>
                <w:szCs w:val="24"/>
              </w:rPr>
              <w:lastRenderedPageBreak/>
              <w:t>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необхідності приведення обсягів товарів до кратності </w:t>
            </w:r>
            <w:r>
              <w:rPr>
                <w:rFonts w:ascii="Times New Roman" w:eastAsia="sans-serif" w:hAnsi="Times New Roman" w:cs="Times New Roman"/>
                <w:sz w:val="24"/>
                <w:szCs w:val="24"/>
                <w:highlight w:val="yellow"/>
              </w:rPr>
              <w:lastRenderedPageBreak/>
              <w:t>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CE53F3" w:rsidRPr="00CE53F3" w:rsidRDefault="00C84416" w:rsidP="00CE53F3">
      <w:pPr>
        <w:pStyle w:val="21"/>
        <w:widowControl w:val="0"/>
        <w:tabs>
          <w:tab w:val="left" w:pos="705"/>
        </w:tabs>
        <w:spacing w:after="0" w:line="240" w:lineRule="auto"/>
        <w:ind w:firstLine="708"/>
        <w:jc w:val="both"/>
        <w:rPr>
          <w:rStyle w:val="10"/>
          <w:rFonts w:ascii="Times New Roman" w:eastAsia="Times New Roman" w:hAnsi="Times New Roman"/>
          <w:lang w:val="uk-UA"/>
        </w:rPr>
      </w:pPr>
      <w:r w:rsidRPr="008710E3">
        <w:rPr>
          <w:rFonts w:ascii="Times New Roman" w:hAnsi="Times New Roman"/>
          <w:szCs w:val="24"/>
        </w:rPr>
        <w:t xml:space="preserve">- </w:t>
      </w:r>
      <w:r>
        <w:rPr>
          <w:rFonts w:ascii="Times New Roman" w:hAnsi="Times New Roman"/>
          <w:szCs w:val="24"/>
          <w:lang w:val="uk-UA"/>
        </w:rPr>
        <w:t xml:space="preserve">  </w:t>
      </w:r>
      <w:r w:rsidR="00CE53F3">
        <w:rPr>
          <w:rStyle w:val="10"/>
          <w:rFonts w:ascii="Times New Roman" w:eastAsia="Times New Roman" w:hAnsi="Times New Roman"/>
        </w:rPr>
        <w:t xml:space="preserve">Статут або інший установчий документ в останній редакції. У випадку, якщо Учасник діє на </w:t>
      </w:r>
      <w:proofErr w:type="gramStart"/>
      <w:r w:rsidR="00CE53F3">
        <w:rPr>
          <w:rStyle w:val="10"/>
          <w:rFonts w:ascii="Times New Roman" w:eastAsia="Times New Roman" w:hAnsi="Times New Roman"/>
        </w:rPr>
        <w:t>п</w:t>
      </w:r>
      <w:proofErr w:type="gramEnd"/>
      <w:r w:rsidR="00CE53F3">
        <w:rPr>
          <w:rStyle w:val="10"/>
          <w:rFonts w:ascii="Times New Roman" w:eastAsia="Times New Roman" w:hAnsi="Times New Roman"/>
        </w:rPr>
        <w:t xml:space="preserve">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w:t>
      </w:r>
      <w:proofErr w:type="gramStart"/>
      <w:r w:rsidR="00CE53F3">
        <w:rPr>
          <w:rStyle w:val="10"/>
          <w:rFonts w:ascii="Times New Roman" w:eastAsia="Times New Roman" w:hAnsi="Times New Roman"/>
        </w:rPr>
        <w:t>п</w:t>
      </w:r>
      <w:proofErr w:type="gramEnd"/>
      <w:r w:rsidR="00CE53F3">
        <w:rPr>
          <w:rStyle w:val="10"/>
          <w:rFonts w:ascii="Times New Roman" w:eastAsia="Times New Roman" w:hAnsi="Times New Roman"/>
        </w:rPr>
        <w:t>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w:t>
      </w:r>
      <w:proofErr w:type="gramStart"/>
      <w:r w:rsidR="00CE53F3">
        <w:rPr>
          <w:rStyle w:val="10"/>
          <w:rFonts w:ascii="Times New Roman" w:eastAsia="Times New Roman" w:hAnsi="Times New Roman"/>
        </w:rPr>
        <w:t>в</w:t>
      </w:r>
      <w:proofErr w:type="gramEnd"/>
      <w:r w:rsidR="00CE53F3">
        <w:rPr>
          <w:rStyle w:val="10"/>
          <w:rFonts w:ascii="Times New Roman" w:eastAsia="Times New Roman" w:hAnsi="Times New Roman"/>
        </w:rPr>
        <w:t xml:space="preserve"> та громадських формувань</w:t>
      </w:r>
      <w:r w:rsidR="00CE53F3">
        <w:rPr>
          <w:rStyle w:val="10"/>
          <w:rFonts w:ascii="Times New Roman" w:eastAsia="Times New Roman" w:hAnsi="Times New Roman"/>
          <w:lang w:val="uk-UA"/>
        </w:rPr>
        <w:t>;</w:t>
      </w:r>
    </w:p>
    <w:p w:rsidR="00C84416" w:rsidRDefault="00CE53F3" w:rsidP="00C84416">
      <w:pPr>
        <w:pStyle w:val="a8"/>
        <w:numPr>
          <w:ilvl w:val="0"/>
          <w:numId w:val="3"/>
        </w:numPr>
        <w:spacing w:after="0" w:line="240" w:lineRule="auto"/>
        <w:jc w:val="both"/>
        <w:rPr>
          <w:rFonts w:ascii="Times New Roman" w:hAnsi="Times New Roman"/>
          <w:sz w:val="24"/>
          <w:szCs w:val="24"/>
        </w:rPr>
      </w:pPr>
      <w:r>
        <w:rPr>
          <w:rStyle w:val="10"/>
          <w:rFonts w:ascii="Times New Roman" w:eastAsia="Times New Roman" w:hAnsi="Times New Roman"/>
        </w:rPr>
        <w:t>Копію виписки/витягу з ЄДРПОУ з даними, актуальними на дату подання пропозиції</w:t>
      </w:r>
      <w:r w:rsidR="00C84416" w:rsidRPr="00C302FE">
        <w:rPr>
          <w:rFonts w:ascii="Times New Roman" w:hAnsi="Times New Roman"/>
          <w:sz w:val="24"/>
          <w:szCs w:val="24"/>
        </w:rPr>
        <w:t>;</w:t>
      </w:r>
    </w:p>
    <w:p w:rsidR="00CE53F3" w:rsidRPr="00CE53F3" w:rsidRDefault="00CE53F3" w:rsidP="00CE53F3">
      <w:pPr>
        <w:pStyle w:val="21"/>
        <w:widowControl w:val="0"/>
        <w:tabs>
          <w:tab w:val="left" w:pos="7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9"/>
        <w:jc w:val="both"/>
        <w:rPr>
          <w:rStyle w:val="10"/>
          <w:rFonts w:ascii="Times New Roman" w:eastAsia="Times New Roman" w:hAnsi="Times New Roman"/>
          <w:lang w:val="uk-UA"/>
        </w:rPr>
      </w:pPr>
      <w:r>
        <w:rPr>
          <w:rStyle w:val="10"/>
          <w:rFonts w:ascii="Times New Roman" w:eastAsia="Times New Roman" w:hAnsi="Times New Roman"/>
          <w:lang w:val="uk-UA"/>
        </w:rPr>
        <w:t>к</w:t>
      </w:r>
      <w:r>
        <w:rPr>
          <w:rStyle w:val="10"/>
          <w:rFonts w:ascii="Times New Roman" w:eastAsia="Times New Roman" w:hAnsi="Times New Roman"/>
        </w:rPr>
        <w:t>опію Свідоцтва платника ПДВ або витягу з реєстру платників ПДВ, або платника єдиного податку</w:t>
      </w:r>
      <w:r>
        <w:rPr>
          <w:rStyle w:val="10"/>
          <w:rFonts w:ascii="Times New Roman" w:eastAsia="Times New Roman" w:hAnsi="Times New Roman"/>
          <w:lang w:val="uk-UA"/>
        </w:rPr>
        <w:t>;</w:t>
      </w:r>
    </w:p>
    <w:p w:rsidR="00C84416" w:rsidRDefault="00C84416" w:rsidP="00C84416">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довідки про присвоєння ідентифікаційного коду (для фізичних осіб);</w:t>
      </w:r>
    </w:p>
    <w:p w:rsidR="00C84416" w:rsidRDefault="00C84416" w:rsidP="00C84416">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паспорту (для фізичних осіб);</w:t>
      </w:r>
    </w:p>
    <w:p w:rsidR="00C84416" w:rsidRPr="00BD5313"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sidRPr="008710E3">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C84416" w:rsidRPr="006A57A0"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C84416" w:rsidRPr="006A57A0"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C84416" w:rsidRPr="00CE53F3"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lastRenderedPageBreak/>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C6717F" w:rsidP="009F6BB4">
      <w:pPr>
        <w:jc w:val="both"/>
      </w:pPr>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C6717F" w:rsidRDefault="00C6717F" w:rsidP="00C6717F">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C6717F" w:rsidRPr="0006191D" w:rsidRDefault="00C6717F" w:rsidP="00C6717F">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C6717F" w:rsidRPr="00BC54A7" w:rsidRDefault="00C6717F" w:rsidP="00C6717F">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Pr="00586FEA" w:rsidRDefault="00C6717F" w:rsidP="00C6717F">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C6717F" w:rsidRPr="00586FEA" w:rsidRDefault="00C6717F" w:rsidP="00C6717F">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586FEA" w:rsidRDefault="00C6717F" w:rsidP="00C6717F">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C6717F" w:rsidRPr="00586FEA" w:rsidRDefault="00C6717F" w:rsidP="00C6717F">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586FEA" w:rsidTr="000E36DF">
        <w:tc>
          <w:tcPr>
            <w:tcW w:w="662" w:type="dxa"/>
            <w:tcBorders>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586FEA" w:rsidRDefault="00C6717F" w:rsidP="00C6717F">
      <w:pPr>
        <w:jc w:val="center"/>
        <w:rPr>
          <w:rFonts w:ascii="Times New Roman" w:hAnsi="Times New Roman" w:cs="Times New Roman"/>
          <w:b/>
          <w:bCs/>
          <w:i/>
          <w:sz w:val="24"/>
          <w:szCs w:val="24"/>
          <w:lang w:val="uk-UA"/>
        </w:rPr>
      </w:pPr>
    </w:p>
    <w:p w:rsidR="00C6717F" w:rsidRPr="00586FEA" w:rsidRDefault="00C6717F" w:rsidP="00C6717F">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C6717F" w:rsidRDefault="00C6717F" w:rsidP="00C6717F">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Default="00C6717F" w:rsidP="00C6717F">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574418" w:rsidRDefault="00574418">
      <w:pPr>
        <w:spacing w:after="200"/>
        <w:jc w:val="right"/>
        <w:rPr>
          <w:rFonts w:ascii="Times New Roman" w:eastAsia="Times New Roman" w:hAnsi="Times New Roman" w:cs="Times New Roman"/>
          <w:b/>
          <w:sz w:val="28"/>
          <w:szCs w:val="28"/>
          <w:lang w:val="uk-UA"/>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73D38" w:rsidRDefault="00573D38" w:rsidP="00573D38">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573D38" w:rsidRDefault="00573D38" w:rsidP="00573D38">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
    <w:p w:rsidR="005D5092" w:rsidRDefault="00573D38" w:rsidP="005D5092">
      <w:pPr>
        <w:pStyle w:val="1"/>
        <w:shd w:val="clear" w:color="auto" w:fill="FFFFFF"/>
        <w:textAlignment w:val="baseline"/>
        <w:rPr>
          <w:rFonts w:ascii="Times New Roman" w:hAnsi="Times New Roman"/>
          <w:b w:val="0"/>
          <w:sz w:val="24"/>
          <w:szCs w:val="24"/>
          <w:lang w:val="uk-UA" w:eastAsia="uk-UA"/>
        </w:rPr>
      </w:pPr>
      <w:r w:rsidRPr="006546FC">
        <w:rPr>
          <w:rFonts w:ascii="Times New Roman" w:hAnsi="Times New Roman"/>
          <w:b w:val="0"/>
          <w:sz w:val="24"/>
          <w:szCs w:val="24"/>
          <w:lang w:val="uk-UA" w:eastAsia="uk-UA"/>
        </w:rPr>
        <w:t xml:space="preserve">Предмет закупівлі: </w:t>
      </w:r>
    </w:p>
    <w:p w:rsidR="00146E48" w:rsidRDefault="00146E48" w:rsidP="00573D38">
      <w:pPr>
        <w:pStyle w:val="1"/>
        <w:shd w:val="clear" w:color="auto" w:fill="FFFFFF"/>
        <w:textAlignment w:val="baseline"/>
        <w:rPr>
          <w:rFonts w:ascii="Times New Roman" w:hAnsi="Times New Roman"/>
          <w:sz w:val="24"/>
          <w:szCs w:val="24"/>
          <w:lang w:val="uk-UA"/>
        </w:rPr>
      </w:pPr>
      <w:r>
        <w:rPr>
          <w:rFonts w:ascii="Times New Roman" w:hAnsi="Times New Roman"/>
          <w:sz w:val="24"/>
          <w:szCs w:val="24"/>
          <w:lang w:val="uk-UA"/>
        </w:rPr>
        <w:t xml:space="preserve">     </w:t>
      </w:r>
    </w:p>
    <w:p w:rsidR="00146E48" w:rsidRDefault="00146E48" w:rsidP="00573D38">
      <w:pPr>
        <w:pStyle w:val="1"/>
        <w:shd w:val="clear" w:color="auto" w:fill="FFFFFF"/>
        <w:textAlignment w:val="baseline"/>
        <w:rPr>
          <w:rFonts w:ascii="Times New Roman" w:hAnsi="Times New Roman"/>
          <w:sz w:val="24"/>
          <w:szCs w:val="24"/>
          <w:lang w:val="uk-UA"/>
        </w:rPr>
      </w:pPr>
    </w:p>
    <w:p w:rsidR="009A299A" w:rsidRPr="005D289F" w:rsidRDefault="00146E48" w:rsidP="00573D38">
      <w:pPr>
        <w:pStyle w:val="1"/>
        <w:shd w:val="clear" w:color="auto" w:fill="FFFFFF"/>
        <w:textAlignment w:val="baseline"/>
        <w:rPr>
          <w:rFonts w:ascii="Times New Roman" w:eastAsia="Times New Roman CYR" w:hAnsi="Times New Roman" w:cs="Times New Roman"/>
          <w:sz w:val="28"/>
          <w:szCs w:val="28"/>
          <w:shd w:val="clear" w:color="auto" w:fill="FFFFFF"/>
          <w:lang w:val="uk-UA"/>
        </w:rPr>
      </w:pPr>
      <w:r>
        <w:rPr>
          <w:rFonts w:ascii="Times New Roman" w:hAnsi="Times New Roman"/>
          <w:sz w:val="24"/>
          <w:szCs w:val="24"/>
          <w:lang w:val="uk-UA"/>
        </w:rPr>
        <w:t xml:space="preserve">  </w:t>
      </w:r>
      <w:r w:rsidR="00573D38" w:rsidRPr="005D289F">
        <w:rPr>
          <w:rFonts w:ascii="Times New Roman" w:hAnsi="Times New Roman"/>
          <w:sz w:val="24"/>
          <w:szCs w:val="24"/>
          <w:lang w:val="uk-UA"/>
        </w:rPr>
        <w:t>Код ДК 021:2015 -</w:t>
      </w:r>
      <w:r w:rsidR="007579D4" w:rsidRPr="005D289F">
        <w:rPr>
          <w:rFonts w:ascii="Times New Roman" w:hAnsi="Times New Roman"/>
          <w:sz w:val="24"/>
          <w:szCs w:val="24"/>
          <w:lang w:val="uk-UA"/>
        </w:rPr>
        <w:t xml:space="preserve"> </w:t>
      </w:r>
      <w:r w:rsidR="005D289F" w:rsidRPr="005D289F">
        <w:rPr>
          <w:rFonts w:ascii="Times New Roman" w:hAnsi="Times New Roman" w:cs="Times New Roman"/>
          <w:sz w:val="24"/>
          <w:szCs w:val="24"/>
        </w:rPr>
        <w:t>90510000-5 - Утилізація/видалення сміття та поводження зі сміттям (Послуги з поводження з твердими побутовими відходами)</w:t>
      </w:r>
    </w:p>
    <w:p w:rsidR="00146E48" w:rsidRDefault="00146E48" w:rsidP="00146E48">
      <w:pPr>
        <w:rPr>
          <w:lang w:val="uk-UA"/>
        </w:rPr>
      </w:pPr>
    </w:p>
    <w:p w:rsidR="00146E48" w:rsidRPr="008257DA" w:rsidRDefault="00573D38" w:rsidP="00573D38">
      <w:pPr>
        <w:pStyle w:val="1"/>
        <w:shd w:val="clear" w:color="auto" w:fill="FFFFFF"/>
        <w:textAlignment w:val="baseline"/>
        <w:rPr>
          <w:rFonts w:ascii="Times New Roman" w:hAnsi="Times New Roman"/>
          <w:sz w:val="24"/>
          <w:szCs w:val="24"/>
          <w:lang w:val="uk-UA"/>
        </w:rPr>
      </w:pPr>
      <w:r w:rsidRPr="008257DA">
        <w:rPr>
          <w:rFonts w:ascii="Times New Roman" w:hAnsi="Times New Roman"/>
          <w:sz w:val="24"/>
          <w:szCs w:val="24"/>
          <w:lang w:val="uk-UA"/>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3186"/>
        <w:gridCol w:w="2729"/>
        <w:gridCol w:w="1523"/>
        <w:gridCol w:w="1596"/>
      </w:tblGrid>
      <w:tr w:rsidR="007579D4" w:rsidRPr="005113A5" w:rsidTr="00E56C74">
        <w:trPr>
          <w:trHeight w:val="229"/>
        </w:trPr>
        <w:tc>
          <w:tcPr>
            <w:tcW w:w="889" w:type="dxa"/>
            <w:vAlign w:val="center"/>
          </w:tcPr>
          <w:p w:rsidR="007579D4" w:rsidRPr="005113A5" w:rsidRDefault="007579D4" w:rsidP="00703CD6">
            <w:pPr>
              <w:jc w:val="center"/>
              <w:rPr>
                <w:rFonts w:ascii="Times New Roman" w:hAnsi="Times New Roman"/>
                <w:b/>
                <w:i/>
                <w:sz w:val="24"/>
                <w:szCs w:val="24"/>
                <w:lang w:eastAsia="uk-UA"/>
              </w:rPr>
            </w:pPr>
            <w:r w:rsidRPr="005113A5">
              <w:rPr>
                <w:rFonts w:ascii="Times New Roman" w:hAnsi="Times New Roman"/>
                <w:b/>
                <w:i/>
                <w:sz w:val="24"/>
                <w:szCs w:val="24"/>
                <w:lang w:eastAsia="uk-UA"/>
              </w:rPr>
              <w:t>№</w:t>
            </w:r>
          </w:p>
          <w:p w:rsidR="007579D4" w:rsidRPr="005113A5" w:rsidRDefault="007579D4" w:rsidP="00703CD6">
            <w:pPr>
              <w:jc w:val="center"/>
              <w:rPr>
                <w:rFonts w:ascii="Times New Roman" w:hAnsi="Times New Roman"/>
                <w:b/>
                <w:i/>
                <w:sz w:val="24"/>
                <w:szCs w:val="24"/>
                <w:lang w:val="uk-UA" w:eastAsia="uk-UA"/>
              </w:rPr>
            </w:pPr>
            <w:r w:rsidRPr="005113A5">
              <w:rPr>
                <w:rFonts w:ascii="Times New Roman" w:hAnsi="Times New Roman"/>
                <w:b/>
                <w:i/>
                <w:sz w:val="24"/>
                <w:szCs w:val="24"/>
                <w:lang w:val="uk-UA" w:eastAsia="uk-UA"/>
              </w:rPr>
              <w:t>п/п</w:t>
            </w:r>
          </w:p>
        </w:tc>
        <w:tc>
          <w:tcPr>
            <w:tcW w:w="3186" w:type="dxa"/>
            <w:vAlign w:val="center"/>
          </w:tcPr>
          <w:p w:rsidR="007579D4" w:rsidRPr="005113A5" w:rsidRDefault="007579D4" w:rsidP="00703CD6">
            <w:pPr>
              <w:jc w:val="center"/>
              <w:rPr>
                <w:rFonts w:ascii="Times New Roman" w:hAnsi="Times New Roman"/>
                <w:b/>
                <w:sz w:val="24"/>
                <w:szCs w:val="24"/>
                <w:lang w:val="uk-UA" w:eastAsia="uk-UA"/>
              </w:rPr>
            </w:pPr>
            <w:r w:rsidRPr="005113A5">
              <w:rPr>
                <w:rFonts w:ascii="Times New Roman" w:hAnsi="Times New Roman"/>
                <w:b/>
                <w:sz w:val="24"/>
                <w:szCs w:val="24"/>
                <w:lang w:eastAsia="uk-UA"/>
              </w:rPr>
              <w:t xml:space="preserve">Найменування  </w:t>
            </w:r>
            <w:r>
              <w:rPr>
                <w:rFonts w:ascii="Times New Roman" w:hAnsi="Times New Roman"/>
                <w:b/>
                <w:sz w:val="24"/>
                <w:szCs w:val="24"/>
                <w:lang w:val="uk-UA" w:eastAsia="uk-UA"/>
              </w:rPr>
              <w:t>послуги</w:t>
            </w:r>
          </w:p>
        </w:tc>
        <w:tc>
          <w:tcPr>
            <w:tcW w:w="2729" w:type="dxa"/>
            <w:vAlign w:val="center"/>
          </w:tcPr>
          <w:p w:rsidR="007579D4" w:rsidRPr="005113A5" w:rsidRDefault="007579D4" w:rsidP="00703CD6">
            <w:pPr>
              <w:ind w:left="-819" w:firstLine="711"/>
              <w:jc w:val="center"/>
              <w:rPr>
                <w:rFonts w:ascii="Times New Roman" w:hAnsi="Times New Roman"/>
                <w:b/>
                <w:sz w:val="24"/>
                <w:szCs w:val="24"/>
                <w:lang w:eastAsia="uk-UA"/>
              </w:rPr>
            </w:pPr>
            <w:r w:rsidRPr="005113A5">
              <w:rPr>
                <w:rFonts w:ascii="Times New Roman" w:hAnsi="Times New Roman"/>
                <w:b/>
                <w:sz w:val="24"/>
                <w:szCs w:val="24"/>
                <w:lang w:eastAsia="uk-UA"/>
              </w:rPr>
              <w:t>Місце надання послуг</w:t>
            </w:r>
          </w:p>
        </w:tc>
        <w:tc>
          <w:tcPr>
            <w:tcW w:w="1523" w:type="dxa"/>
            <w:vAlign w:val="center"/>
          </w:tcPr>
          <w:p w:rsidR="007579D4" w:rsidRPr="005113A5" w:rsidRDefault="007579D4" w:rsidP="00703CD6">
            <w:pPr>
              <w:jc w:val="center"/>
              <w:rPr>
                <w:rFonts w:ascii="Times New Roman" w:hAnsi="Times New Roman"/>
                <w:b/>
                <w:sz w:val="24"/>
                <w:szCs w:val="24"/>
                <w:lang w:eastAsia="uk-UA"/>
              </w:rPr>
            </w:pPr>
            <w:r w:rsidRPr="005113A5">
              <w:rPr>
                <w:rFonts w:ascii="Times New Roman" w:hAnsi="Times New Roman"/>
                <w:b/>
                <w:sz w:val="24"/>
                <w:szCs w:val="24"/>
                <w:lang w:eastAsia="uk-UA"/>
              </w:rPr>
              <w:t>Обсяги закупі</w:t>
            </w:r>
            <w:proofErr w:type="gramStart"/>
            <w:r w:rsidRPr="005113A5">
              <w:rPr>
                <w:rFonts w:ascii="Times New Roman" w:hAnsi="Times New Roman"/>
                <w:b/>
                <w:sz w:val="24"/>
                <w:szCs w:val="24"/>
                <w:lang w:eastAsia="uk-UA"/>
              </w:rPr>
              <w:t>вл</w:t>
            </w:r>
            <w:proofErr w:type="gramEnd"/>
            <w:r w:rsidRPr="005113A5">
              <w:rPr>
                <w:rFonts w:ascii="Times New Roman" w:hAnsi="Times New Roman"/>
                <w:b/>
                <w:sz w:val="24"/>
                <w:szCs w:val="24"/>
                <w:lang w:eastAsia="uk-UA"/>
              </w:rPr>
              <w:t>і,м³</w:t>
            </w:r>
          </w:p>
        </w:tc>
        <w:tc>
          <w:tcPr>
            <w:tcW w:w="1596" w:type="dxa"/>
            <w:vAlign w:val="center"/>
          </w:tcPr>
          <w:p w:rsidR="007579D4" w:rsidRPr="005113A5" w:rsidRDefault="007579D4" w:rsidP="00703CD6">
            <w:pPr>
              <w:jc w:val="center"/>
              <w:rPr>
                <w:rFonts w:ascii="Times New Roman" w:hAnsi="Times New Roman"/>
                <w:b/>
                <w:sz w:val="24"/>
                <w:szCs w:val="24"/>
                <w:lang w:eastAsia="uk-UA"/>
              </w:rPr>
            </w:pPr>
            <w:r w:rsidRPr="005113A5">
              <w:rPr>
                <w:rFonts w:ascii="Times New Roman" w:hAnsi="Times New Roman"/>
                <w:b/>
                <w:sz w:val="24"/>
                <w:szCs w:val="24"/>
                <w:lang w:eastAsia="uk-UA"/>
              </w:rPr>
              <w:t>Період надання послуг</w:t>
            </w:r>
          </w:p>
        </w:tc>
      </w:tr>
      <w:tr w:rsidR="007579D4" w:rsidRPr="005113A5" w:rsidTr="00E56C74">
        <w:trPr>
          <w:trHeight w:val="788"/>
        </w:trPr>
        <w:tc>
          <w:tcPr>
            <w:tcW w:w="889" w:type="dxa"/>
            <w:vAlign w:val="center"/>
          </w:tcPr>
          <w:p w:rsidR="007579D4" w:rsidRPr="005113A5" w:rsidRDefault="007579D4" w:rsidP="00703CD6">
            <w:pPr>
              <w:jc w:val="center"/>
              <w:rPr>
                <w:rFonts w:ascii="Times New Roman" w:hAnsi="Times New Roman"/>
                <w:sz w:val="24"/>
                <w:szCs w:val="24"/>
                <w:lang w:eastAsia="uk-UA"/>
              </w:rPr>
            </w:pPr>
            <w:r w:rsidRPr="005113A5">
              <w:rPr>
                <w:rFonts w:ascii="Times New Roman" w:hAnsi="Times New Roman"/>
                <w:sz w:val="24"/>
                <w:szCs w:val="24"/>
                <w:lang w:val="uk-UA" w:eastAsia="uk-UA"/>
              </w:rPr>
              <w:t>1</w:t>
            </w:r>
          </w:p>
        </w:tc>
        <w:tc>
          <w:tcPr>
            <w:tcW w:w="3186" w:type="dxa"/>
          </w:tcPr>
          <w:p w:rsidR="007579D4" w:rsidRPr="005113A5" w:rsidRDefault="007579D4" w:rsidP="00703CD6">
            <w:pPr>
              <w:rPr>
                <w:rFonts w:ascii="Times New Roman" w:hAnsi="Times New Roman"/>
                <w:sz w:val="24"/>
                <w:szCs w:val="24"/>
                <w:lang w:eastAsia="uk-UA"/>
              </w:rPr>
            </w:pPr>
            <w:r w:rsidRPr="005113A5">
              <w:rPr>
                <w:rFonts w:ascii="Times New Roman" w:hAnsi="Times New Roman"/>
                <w:sz w:val="24"/>
                <w:szCs w:val="24"/>
              </w:rPr>
              <w:t>Утилізація/видалення сміття та поводження зі сміттям (Послуги з поводження з твердими побутовими відходами)</w:t>
            </w:r>
          </w:p>
        </w:tc>
        <w:tc>
          <w:tcPr>
            <w:tcW w:w="2729" w:type="dxa"/>
          </w:tcPr>
          <w:p w:rsidR="007579D4" w:rsidRPr="005113A5" w:rsidRDefault="007579D4" w:rsidP="00703CD6">
            <w:pPr>
              <w:pStyle w:val="NoSpacing"/>
              <w:rPr>
                <w:lang w:eastAsia="uk-UA"/>
              </w:rPr>
            </w:pPr>
            <w:r w:rsidRPr="005113A5">
              <w:t>м. Суми, вул. Марко Вовчок, 2</w:t>
            </w:r>
          </w:p>
        </w:tc>
        <w:tc>
          <w:tcPr>
            <w:tcW w:w="1523" w:type="dxa"/>
          </w:tcPr>
          <w:p w:rsidR="007579D4" w:rsidRPr="005113A5" w:rsidRDefault="007579D4" w:rsidP="00703CD6">
            <w:pPr>
              <w:jc w:val="center"/>
              <w:rPr>
                <w:rFonts w:ascii="Times New Roman" w:hAnsi="Times New Roman"/>
                <w:sz w:val="24"/>
                <w:szCs w:val="24"/>
                <w:lang w:eastAsia="uk-UA"/>
              </w:rPr>
            </w:pPr>
            <w:r>
              <w:rPr>
                <w:rFonts w:ascii="Times New Roman" w:hAnsi="Times New Roman"/>
                <w:sz w:val="24"/>
                <w:szCs w:val="24"/>
                <w:lang w:val="uk-UA"/>
              </w:rPr>
              <w:t>554</w:t>
            </w:r>
            <w:r w:rsidRPr="005113A5">
              <w:rPr>
                <w:rFonts w:ascii="Times New Roman" w:hAnsi="Times New Roman"/>
                <w:sz w:val="24"/>
                <w:szCs w:val="24"/>
              </w:rPr>
              <w:t xml:space="preserve"> м</w:t>
            </w:r>
            <w:r w:rsidRPr="005113A5">
              <w:rPr>
                <w:rFonts w:ascii="Times New Roman" w:hAnsi="Times New Roman"/>
                <w:sz w:val="24"/>
                <w:szCs w:val="24"/>
                <w:vertAlign w:val="superscript"/>
              </w:rPr>
              <w:t>3</w:t>
            </w:r>
          </w:p>
        </w:tc>
        <w:tc>
          <w:tcPr>
            <w:tcW w:w="1596" w:type="dxa"/>
          </w:tcPr>
          <w:p w:rsidR="007579D4" w:rsidRPr="005113A5" w:rsidRDefault="007579D4" w:rsidP="007579D4">
            <w:pPr>
              <w:rPr>
                <w:rFonts w:ascii="Times New Roman" w:hAnsi="Times New Roman"/>
                <w:sz w:val="24"/>
                <w:szCs w:val="24"/>
                <w:lang w:eastAsia="uk-UA"/>
              </w:rPr>
            </w:pPr>
            <w:r w:rsidRPr="005113A5">
              <w:rPr>
                <w:rFonts w:ascii="Times New Roman" w:hAnsi="Times New Roman"/>
                <w:sz w:val="24"/>
                <w:szCs w:val="24"/>
                <w:lang w:eastAsia="uk-UA"/>
              </w:rPr>
              <w:t>Протягом</w:t>
            </w:r>
            <w:r>
              <w:rPr>
                <w:rFonts w:ascii="Times New Roman" w:hAnsi="Times New Roman"/>
                <w:sz w:val="24"/>
                <w:szCs w:val="24"/>
                <w:lang w:val="uk-UA" w:eastAsia="uk-UA"/>
              </w:rPr>
              <w:t xml:space="preserve"> квітня-грудня</w:t>
            </w:r>
            <w:r w:rsidRPr="005113A5">
              <w:rPr>
                <w:rFonts w:ascii="Times New Roman" w:hAnsi="Times New Roman"/>
                <w:sz w:val="24"/>
                <w:szCs w:val="24"/>
                <w:lang w:eastAsia="uk-UA"/>
              </w:rPr>
              <w:t xml:space="preserve"> 202</w:t>
            </w:r>
            <w:r>
              <w:rPr>
                <w:rFonts w:ascii="Times New Roman" w:hAnsi="Times New Roman"/>
                <w:sz w:val="24"/>
                <w:szCs w:val="24"/>
                <w:lang w:val="uk-UA" w:eastAsia="uk-UA"/>
              </w:rPr>
              <w:t>3</w:t>
            </w:r>
            <w:r w:rsidRPr="005113A5">
              <w:rPr>
                <w:rFonts w:ascii="Times New Roman" w:hAnsi="Times New Roman"/>
                <w:sz w:val="24"/>
                <w:szCs w:val="24"/>
                <w:lang w:eastAsia="uk-UA"/>
              </w:rPr>
              <w:t xml:space="preserve"> року</w:t>
            </w:r>
          </w:p>
        </w:tc>
      </w:tr>
    </w:tbl>
    <w:p w:rsidR="00146E48" w:rsidRDefault="00146E48" w:rsidP="005B428E">
      <w:pPr>
        <w:pStyle w:val="21"/>
        <w:widowControl w:val="0"/>
        <w:spacing w:after="0" w:line="240" w:lineRule="auto"/>
        <w:jc w:val="center"/>
        <w:rPr>
          <w:rStyle w:val="10"/>
          <w:rFonts w:ascii="Times New Roman" w:eastAsia="Times New Roman" w:hAnsi="Times New Roman"/>
          <w:b/>
          <w:caps/>
          <w:lang w:val="uk-UA"/>
        </w:rPr>
      </w:pPr>
    </w:p>
    <w:p w:rsidR="00146E48" w:rsidRDefault="00146E48" w:rsidP="005B428E">
      <w:pPr>
        <w:pStyle w:val="21"/>
        <w:widowControl w:val="0"/>
        <w:spacing w:after="0" w:line="240" w:lineRule="auto"/>
        <w:jc w:val="center"/>
        <w:rPr>
          <w:rStyle w:val="10"/>
          <w:rFonts w:ascii="Times New Roman" w:eastAsia="Times New Roman" w:hAnsi="Times New Roman"/>
          <w:b/>
          <w:caps/>
          <w:lang w:val="uk-UA"/>
        </w:rPr>
      </w:pPr>
    </w:p>
    <w:p w:rsidR="005B428E" w:rsidRDefault="005B428E" w:rsidP="005B428E">
      <w:pPr>
        <w:pStyle w:val="21"/>
        <w:widowControl w:val="0"/>
        <w:spacing w:after="0" w:line="240" w:lineRule="auto"/>
        <w:jc w:val="center"/>
        <w:rPr>
          <w:rStyle w:val="10"/>
          <w:rFonts w:ascii="Times New Roman" w:eastAsia="Times New Roman" w:hAnsi="Times New Roman"/>
        </w:rPr>
      </w:pPr>
      <w:r>
        <w:rPr>
          <w:rStyle w:val="10"/>
          <w:rFonts w:ascii="Times New Roman" w:eastAsia="Times New Roman" w:hAnsi="Times New Roman"/>
          <w:b/>
          <w:caps/>
        </w:rPr>
        <w:t>Інформація про необхідні технічні, якісні та кількісні характеристики предмета закупі</w:t>
      </w:r>
      <w:proofErr w:type="gramStart"/>
      <w:r>
        <w:rPr>
          <w:rStyle w:val="10"/>
          <w:rFonts w:ascii="Times New Roman" w:eastAsia="Times New Roman" w:hAnsi="Times New Roman"/>
          <w:b/>
          <w:caps/>
        </w:rPr>
        <w:t>вл</w:t>
      </w:r>
      <w:proofErr w:type="gramEnd"/>
      <w:r>
        <w:rPr>
          <w:rStyle w:val="10"/>
          <w:rFonts w:ascii="Times New Roman" w:eastAsia="Times New Roman" w:hAnsi="Times New Roman"/>
          <w:b/>
          <w:caps/>
        </w:rPr>
        <w:t>і</w:t>
      </w:r>
    </w:p>
    <w:p w:rsidR="005B428E" w:rsidRDefault="005B428E" w:rsidP="005B428E">
      <w:pPr>
        <w:pStyle w:val="21"/>
        <w:widowControl w:val="0"/>
        <w:spacing w:after="0" w:line="240" w:lineRule="auto"/>
        <w:jc w:val="both"/>
        <w:rPr>
          <w:rStyle w:val="10"/>
          <w:rFonts w:ascii="Times New Roman" w:eastAsia="Times New Roman" w:hAnsi="Times New Roman"/>
        </w:rPr>
      </w:pPr>
    </w:p>
    <w:p w:rsidR="007579D4" w:rsidRPr="00AC1A2C" w:rsidRDefault="005B428E" w:rsidP="001725D9">
      <w:pPr>
        <w:widowControl w:val="0"/>
        <w:numPr>
          <w:ilvl w:val="0"/>
          <w:numId w:val="10"/>
        </w:numPr>
        <w:tabs>
          <w:tab w:val="left" w:pos="851"/>
        </w:tabs>
        <w:autoSpaceDE w:val="0"/>
        <w:autoSpaceDN w:val="0"/>
        <w:spacing w:before="114" w:line="240" w:lineRule="auto"/>
        <w:ind w:left="0" w:right="182" w:firstLine="567"/>
        <w:jc w:val="both"/>
        <w:rPr>
          <w:rFonts w:ascii="Times New Roman" w:hAnsi="Times New Roman"/>
          <w:i/>
          <w:color w:val="800000"/>
          <w:sz w:val="24"/>
          <w:szCs w:val="24"/>
        </w:rPr>
      </w:pPr>
      <w:r w:rsidRPr="00AC1A2C">
        <w:rPr>
          <w:rStyle w:val="10"/>
          <w:rFonts w:ascii="Times New Roman" w:eastAsia="Times New Roman" w:hAnsi="Times New Roman"/>
          <w:sz w:val="24"/>
          <w:szCs w:val="24"/>
        </w:rPr>
        <w:tab/>
      </w:r>
      <w:r w:rsidR="007579D4" w:rsidRPr="00AC1A2C">
        <w:rPr>
          <w:rFonts w:ascii="Times New Roman" w:hAnsi="Times New Roman"/>
          <w:i/>
          <w:sz w:val="24"/>
          <w:szCs w:val="24"/>
        </w:rPr>
        <w:t xml:space="preserve">Послуги надаються за графіком вивезення або на </w:t>
      </w:r>
      <w:proofErr w:type="gramStart"/>
      <w:r w:rsidR="007579D4" w:rsidRPr="00AC1A2C">
        <w:rPr>
          <w:rFonts w:ascii="Times New Roman" w:hAnsi="Times New Roman"/>
          <w:i/>
          <w:sz w:val="24"/>
          <w:szCs w:val="24"/>
        </w:rPr>
        <w:t>п</w:t>
      </w:r>
      <w:proofErr w:type="gramEnd"/>
      <w:r w:rsidR="007579D4" w:rsidRPr="00AC1A2C">
        <w:rPr>
          <w:rFonts w:ascii="Times New Roman" w:hAnsi="Times New Roman"/>
          <w:i/>
          <w:sz w:val="24"/>
          <w:szCs w:val="24"/>
        </w:rPr>
        <w:t xml:space="preserve">ідставі заявок від Замовника, у строки, обумовлені Сторонами в Договорі. </w:t>
      </w:r>
    </w:p>
    <w:p w:rsidR="007579D4" w:rsidRPr="00AC1A2C" w:rsidRDefault="00AC1A2C" w:rsidP="001725D9">
      <w:pPr>
        <w:widowControl w:val="0"/>
        <w:numPr>
          <w:ilvl w:val="0"/>
          <w:numId w:val="10"/>
        </w:numPr>
        <w:tabs>
          <w:tab w:val="left" w:pos="851"/>
        </w:tabs>
        <w:autoSpaceDE w:val="0"/>
        <w:autoSpaceDN w:val="0"/>
        <w:spacing w:before="121" w:line="240" w:lineRule="auto"/>
        <w:ind w:left="0" w:firstLine="567"/>
        <w:jc w:val="both"/>
        <w:rPr>
          <w:rFonts w:ascii="Times New Roman" w:hAnsi="Times New Roman"/>
          <w:i/>
          <w:color w:val="800000"/>
          <w:sz w:val="24"/>
          <w:szCs w:val="24"/>
        </w:rPr>
      </w:pPr>
      <w:r>
        <w:rPr>
          <w:rFonts w:ascii="Times New Roman" w:hAnsi="Times New Roman"/>
          <w:i/>
          <w:sz w:val="24"/>
          <w:szCs w:val="24"/>
          <w:lang w:val="uk-UA"/>
        </w:rPr>
        <w:t xml:space="preserve">      </w:t>
      </w:r>
      <w:r w:rsidR="007579D4" w:rsidRPr="00AC1A2C">
        <w:rPr>
          <w:rFonts w:ascii="Times New Roman" w:hAnsi="Times New Roman"/>
          <w:i/>
          <w:sz w:val="24"/>
          <w:szCs w:val="24"/>
        </w:rPr>
        <w:t xml:space="preserve">Учасник забезпечує належний технічний та санітарний стан транспортних засобів, якими буде здійснюватися вивезення ТПВ. </w:t>
      </w:r>
      <w:proofErr w:type="gramStart"/>
      <w:r w:rsidR="007579D4" w:rsidRPr="00AC1A2C">
        <w:rPr>
          <w:rFonts w:ascii="Times New Roman" w:hAnsi="Times New Roman"/>
          <w:i/>
          <w:sz w:val="24"/>
          <w:szCs w:val="24"/>
        </w:rPr>
        <w:t>У</w:t>
      </w:r>
      <w:proofErr w:type="gramEnd"/>
      <w:r w:rsidR="007579D4" w:rsidRPr="00AC1A2C">
        <w:rPr>
          <w:rFonts w:ascii="Times New Roman" w:hAnsi="Times New Roman"/>
          <w:i/>
          <w:sz w:val="24"/>
          <w:szCs w:val="24"/>
        </w:rPr>
        <w:t xml:space="preserve"> складі пропозиції, надати технічні паспорти на спеціалізовані автомобілі для перевезення ТПВ. </w:t>
      </w:r>
    </w:p>
    <w:p w:rsidR="007579D4" w:rsidRPr="00AC1A2C" w:rsidRDefault="00AC1A2C" w:rsidP="001725D9">
      <w:pPr>
        <w:widowControl w:val="0"/>
        <w:numPr>
          <w:ilvl w:val="0"/>
          <w:numId w:val="10"/>
        </w:numPr>
        <w:tabs>
          <w:tab w:val="left" w:pos="851"/>
          <w:tab w:val="left" w:pos="1637"/>
        </w:tabs>
        <w:autoSpaceDE w:val="0"/>
        <w:autoSpaceDN w:val="0"/>
        <w:spacing w:before="120" w:line="240" w:lineRule="auto"/>
        <w:ind w:left="0" w:right="177" w:firstLine="567"/>
        <w:jc w:val="both"/>
        <w:rPr>
          <w:rFonts w:ascii="Times New Roman" w:hAnsi="Times New Roman"/>
          <w:i/>
          <w:sz w:val="24"/>
          <w:szCs w:val="24"/>
        </w:rPr>
      </w:pPr>
      <w:r>
        <w:rPr>
          <w:rFonts w:ascii="Times New Roman" w:hAnsi="Times New Roman"/>
          <w:i/>
          <w:sz w:val="24"/>
          <w:szCs w:val="24"/>
          <w:lang w:val="uk-UA"/>
        </w:rPr>
        <w:t xml:space="preserve">       </w:t>
      </w:r>
      <w:r w:rsidR="007579D4" w:rsidRPr="00AC1A2C">
        <w:rPr>
          <w:rFonts w:ascii="Times New Roman" w:hAnsi="Times New Roman"/>
          <w:i/>
          <w:sz w:val="24"/>
          <w:szCs w:val="24"/>
        </w:rPr>
        <w:t xml:space="preserve">Вивезення відходів повинно здійснюватися спеціалізованими транспортними засобами Учасника у спеціально відведені місця розміщення відходів, на використання яких отримано дозвіл уповноваженого органу на видалення відходів (Учасник повинен надати копію документу </w:t>
      </w:r>
      <w:proofErr w:type="gramStart"/>
      <w:r w:rsidR="007579D4" w:rsidRPr="00AC1A2C">
        <w:rPr>
          <w:rFonts w:ascii="Times New Roman" w:hAnsi="Times New Roman"/>
          <w:i/>
          <w:sz w:val="24"/>
          <w:szCs w:val="24"/>
        </w:rPr>
        <w:t>у</w:t>
      </w:r>
      <w:proofErr w:type="gramEnd"/>
      <w:r w:rsidR="007579D4" w:rsidRPr="00AC1A2C">
        <w:rPr>
          <w:rFonts w:ascii="Times New Roman" w:hAnsi="Times New Roman"/>
          <w:i/>
          <w:sz w:val="24"/>
          <w:szCs w:val="24"/>
        </w:rPr>
        <w:t xml:space="preserve"> складі пропозиції). У випадку посередництва, Учасник повинен надати у складі тендерної пропозиції, копію договору з організацією, яка має дозвіл на розміщення відході</w:t>
      </w:r>
      <w:proofErr w:type="gramStart"/>
      <w:r w:rsidR="007579D4" w:rsidRPr="00AC1A2C">
        <w:rPr>
          <w:rFonts w:ascii="Times New Roman" w:hAnsi="Times New Roman"/>
          <w:i/>
          <w:sz w:val="24"/>
          <w:szCs w:val="24"/>
        </w:rPr>
        <w:t>в</w:t>
      </w:r>
      <w:proofErr w:type="gramEnd"/>
      <w:r w:rsidR="007579D4" w:rsidRPr="00AC1A2C">
        <w:rPr>
          <w:rFonts w:ascii="Times New Roman" w:hAnsi="Times New Roman"/>
          <w:i/>
          <w:sz w:val="24"/>
          <w:szCs w:val="24"/>
        </w:rPr>
        <w:t xml:space="preserve"> у спеціально відведених</w:t>
      </w:r>
      <w:r w:rsidR="007579D4" w:rsidRPr="00AC1A2C">
        <w:rPr>
          <w:rFonts w:ascii="Times New Roman" w:hAnsi="Times New Roman"/>
          <w:i/>
          <w:spacing w:val="1"/>
          <w:sz w:val="24"/>
          <w:szCs w:val="24"/>
        </w:rPr>
        <w:t xml:space="preserve"> </w:t>
      </w:r>
      <w:r w:rsidR="007579D4" w:rsidRPr="00AC1A2C">
        <w:rPr>
          <w:rFonts w:ascii="Times New Roman" w:hAnsi="Times New Roman"/>
          <w:i/>
          <w:sz w:val="24"/>
          <w:szCs w:val="24"/>
        </w:rPr>
        <w:t>місцях.</w:t>
      </w:r>
    </w:p>
    <w:p w:rsidR="007579D4" w:rsidRDefault="00AC1A2C" w:rsidP="001725D9">
      <w:pPr>
        <w:numPr>
          <w:ilvl w:val="0"/>
          <w:numId w:val="10"/>
        </w:numPr>
        <w:shd w:val="clear" w:color="auto" w:fill="FFFFFF"/>
        <w:spacing w:line="240" w:lineRule="auto"/>
        <w:jc w:val="both"/>
        <w:rPr>
          <w:rFonts w:ascii="Times New Roman" w:hAnsi="Times New Roman"/>
          <w:i/>
          <w:sz w:val="24"/>
          <w:szCs w:val="24"/>
          <w:lang w:val="uk-UA"/>
        </w:rPr>
      </w:pPr>
      <w:r>
        <w:rPr>
          <w:rFonts w:ascii="Times New Roman" w:hAnsi="Times New Roman"/>
          <w:i/>
          <w:sz w:val="24"/>
          <w:szCs w:val="24"/>
          <w:lang w:val="uk-UA"/>
        </w:rPr>
        <w:t xml:space="preserve">       </w:t>
      </w:r>
      <w:r w:rsidR="007579D4" w:rsidRPr="00AC1A2C">
        <w:rPr>
          <w:rFonts w:ascii="Times New Roman" w:hAnsi="Times New Roman"/>
          <w:i/>
          <w:sz w:val="24"/>
          <w:szCs w:val="24"/>
        </w:rPr>
        <w:t xml:space="preserve">Надавати послуги з вивезення твердих побутових відходів </w:t>
      </w:r>
      <w:proofErr w:type="gramStart"/>
      <w:r w:rsidR="007579D4" w:rsidRPr="00AC1A2C">
        <w:rPr>
          <w:rFonts w:ascii="Times New Roman" w:hAnsi="Times New Roman"/>
          <w:i/>
          <w:sz w:val="24"/>
          <w:szCs w:val="24"/>
        </w:rPr>
        <w:t>в</w:t>
      </w:r>
      <w:proofErr w:type="gramEnd"/>
      <w:r w:rsidR="007579D4" w:rsidRPr="00AC1A2C">
        <w:rPr>
          <w:rFonts w:ascii="Times New Roman" w:hAnsi="Times New Roman"/>
          <w:i/>
          <w:sz w:val="24"/>
          <w:szCs w:val="24"/>
        </w:rPr>
        <w:t>ідповідно до Закону України «Про відходи» та нормативно-правових актів у сфері поводження з побутовими відходами</w:t>
      </w:r>
      <w:r w:rsidR="007579D4" w:rsidRPr="00AC1A2C">
        <w:rPr>
          <w:rFonts w:ascii="Times New Roman" w:hAnsi="Times New Roman"/>
          <w:i/>
          <w:sz w:val="24"/>
          <w:szCs w:val="24"/>
          <w:lang w:val="uk-UA"/>
        </w:rPr>
        <w:t xml:space="preserve"> (надати гарантійний лист)</w:t>
      </w:r>
    </w:p>
    <w:p w:rsidR="001725D9" w:rsidRPr="00AC1A2C" w:rsidRDefault="001725D9" w:rsidP="001725D9">
      <w:pPr>
        <w:shd w:val="clear" w:color="auto" w:fill="FFFFFF"/>
        <w:spacing w:line="240" w:lineRule="auto"/>
        <w:ind w:left="760"/>
        <w:jc w:val="both"/>
        <w:rPr>
          <w:rFonts w:ascii="Times New Roman" w:hAnsi="Times New Roman"/>
          <w:i/>
          <w:sz w:val="24"/>
          <w:szCs w:val="24"/>
          <w:lang w:val="uk-UA"/>
        </w:rPr>
      </w:pPr>
    </w:p>
    <w:p w:rsidR="007579D4" w:rsidRPr="00AC1A2C" w:rsidRDefault="007579D4" w:rsidP="001725D9">
      <w:pPr>
        <w:pStyle w:val="21"/>
        <w:widowControl w:val="0"/>
        <w:spacing w:after="0" w:line="240" w:lineRule="auto"/>
        <w:ind w:firstLine="568"/>
        <w:jc w:val="both"/>
        <w:rPr>
          <w:b/>
          <w:szCs w:val="24"/>
          <w:lang w:val="uk-UA"/>
        </w:rPr>
      </w:pPr>
      <w:r w:rsidRPr="00AC1A2C">
        <w:rPr>
          <w:rFonts w:ascii="Times New Roman" w:hAnsi="Times New Roman"/>
          <w:i/>
          <w:szCs w:val="24"/>
          <w:lang w:val="uk-UA"/>
        </w:rPr>
        <w:t>Запр</w:t>
      </w:r>
      <w:r w:rsidR="000A21E3">
        <w:rPr>
          <w:rFonts w:ascii="Times New Roman" w:hAnsi="Times New Roman"/>
          <w:i/>
          <w:szCs w:val="24"/>
          <w:lang w:val="uk-UA"/>
        </w:rPr>
        <w:t>о</w:t>
      </w:r>
      <w:r w:rsidRPr="00AC1A2C">
        <w:rPr>
          <w:rFonts w:ascii="Times New Roman" w:hAnsi="Times New Roman"/>
          <w:i/>
          <w:szCs w:val="24"/>
          <w:lang w:val="uk-UA"/>
        </w:rPr>
        <w:t>понована ціна повинна бути затверджена відповідно до законодавства.</w:t>
      </w:r>
    </w:p>
    <w:p w:rsidR="00573D38" w:rsidRDefault="00573D38" w:rsidP="00573D38">
      <w:pPr>
        <w:pStyle w:val="xfmc1"/>
        <w:spacing w:before="0" w:beforeAutospacing="0" w:after="0" w:afterAutospacing="0" w:line="276" w:lineRule="auto"/>
        <w:jc w:val="center"/>
        <w:rPr>
          <w:i/>
          <w:iCs/>
          <w:color w:val="000000"/>
          <w:lang w:val="uk-UA"/>
        </w:rPr>
      </w:pPr>
    </w:p>
    <w:p w:rsidR="00573D38" w:rsidRPr="00C21ED8" w:rsidRDefault="00573D38" w:rsidP="00573D38">
      <w:pPr>
        <w:pStyle w:val="xfmc1"/>
        <w:spacing w:before="0" w:beforeAutospacing="0" w:after="0" w:afterAutospacing="0" w:line="276" w:lineRule="auto"/>
        <w:jc w:val="center"/>
      </w:pPr>
      <w:r w:rsidRPr="00C21ED8">
        <w:rPr>
          <w:i/>
          <w:iCs/>
          <w:color w:val="000000"/>
          <w:lang w:val="uk-UA"/>
        </w:rPr>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Default="00573D38" w:rsidP="00573D38">
      <w:pPr>
        <w:spacing w:line="240" w:lineRule="auto"/>
        <w:jc w:val="center"/>
        <w:rPr>
          <w:rFonts w:ascii="Times New Roman" w:hAnsi="Times New Roman" w:cs="Times New Roman"/>
          <w:i/>
          <w:iCs/>
          <w:color w:val="000000"/>
          <w:sz w:val="24"/>
          <w:szCs w:val="24"/>
          <w:lang w:val="uk-UA"/>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CE53F3" w:rsidRDefault="00CE53F3" w:rsidP="00573D38">
      <w:pPr>
        <w:spacing w:line="240" w:lineRule="auto"/>
        <w:jc w:val="center"/>
        <w:rPr>
          <w:rFonts w:ascii="Times New Roman" w:hAnsi="Times New Roman" w:cs="Times New Roman"/>
          <w:i/>
          <w:iCs/>
          <w:color w:val="000000"/>
          <w:sz w:val="24"/>
          <w:szCs w:val="24"/>
          <w:lang w:val="uk-UA"/>
        </w:rPr>
      </w:pPr>
    </w:p>
    <w:sectPr w:rsidR="00CE53F3" w:rsidSect="00ED4BA3">
      <w:footerReference w:type="default" r:id="rId22"/>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2D" w:rsidRDefault="0033452D">
      <w:pPr>
        <w:spacing w:line="240" w:lineRule="auto"/>
      </w:pPr>
      <w:r>
        <w:separator/>
      </w:r>
    </w:p>
  </w:endnote>
  <w:endnote w:type="continuationSeparator" w:id="0">
    <w:p w:rsidR="0033452D" w:rsidRDefault="003345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746" w:rsidRDefault="002A7746">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5D289F">
      <w:rPr>
        <w:noProof/>
        <w:color w:val="000000"/>
      </w:rPr>
      <w:t>28</w:t>
    </w:r>
    <w:r>
      <w:rPr>
        <w:color w:val="000000"/>
      </w:rPr>
      <w:fldChar w:fldCharType="end"/>
    </w:r>
  </w:p>
  <w:p w:rsidR="002A7746" w:rsidRDefault="002A7746">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2D" w:rsidRDefault="0033452D">
      <w:r>
        <w:separator/>
      </w:r>
    </w:p>
  </w:footnote>
  <w:footnote w:type="continuationSeparator" w:id="0">
    <w:p w:rsidR="0033452D" w:rsidRDefault="00334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546B0AC"/>
    <w:multiLevelType w:val="multilevel"/>
    <w:tmpl w:val="0BD40418"/>
    <w:lvl w:ilvl="0">
      <w:start w:val="1"/>
      <w:numFmt w:val="bullet"/>
      <w:lvlText w:val="·"/>
      <w:lvlJc w:val="left"/>
      <w:pPr>
        <w:ind w:left="3456" w:hanging="354"/>
      </w:pPr>
      <w:rPr>
        <w:rFonts w:ascii="Symbol" w:eastAsia="Symbol" w:hAnsi="Symbol"/>
      </w:rPr>
    </w:lvl>
    <w:lvl w:ilvl="1">
      <w:start w:val="1"/>
      <w:numFmt w:val="bullet"/>
      <w:lvlText w:val="o"/>
      <w:lvlJc w:val="left"/>
      <w:pPr>
        <w:ind w:left="4176" w:hanging="354"/>
      </w:pPr>
      <w:rPr>
        <w:rFonts w:ascii="Symbol" w:eastAsia="Symbol" w:hAnsi="Symbol"/>
      </w:rPr>
    </w:lvl>
    <w:lvl w:ilvl="2">
      <w:start w:val="1"/>
      <w:numFmt w:val="bullet"/>
      <w:lvlText w:val="·"/>
      <w:lvlJc w:val="left"/>
      <w:pPr>
        <w:ind w:left="4896" w:hanging="354"/>
      </w:pPr>
      <w:rPr>
        <w:rFonts w:ascii="Symbol" w:eastAsia="Symbol" w:hAnsi="Symbol"/>
      </w:rPr>
    </w:lvl>
    <w:lvl w:ilvl="3">
      <w:start w:val="1"/>
      <w:numFmt w:val="bullet"/>
      <w:lvlText w:val="o"/>
      <w:lvlJc w:val="left"/>
      <w:pPr>
        <w:ind w:left="5616" w:hanging="354"/>
      </w:pPr>
      <w:rPr>
        <w:rFonts w:ascii="Symbol" w:eastAsia="Symbol" w:hAnsi="Symbol"/>
      </w:rPr>
    </w:lvl>
    <w:lvl w:ilvl="4">
      <w:start w:val="1"/>
      <w:numFmt w:val="bullet"/>
      <w:lvlText w:val="·"/>
      <w:lvlJc w:val="left"/>
      <w:pPr>
        <w:ind w:left="6336" w:hanging="354"/>
      </w:pPr>
      <w:rPr>
        <w:rFonts w:ascii="Symbol" w:eastAsia="Symbol" w:hAnsi="Symbol"/>
      </w:rPr>
    </w:lvl>
    <w:lvl w:ilvl="5">
      <w:start w:val="1"/>
      <w:numFmt w:val="bullet"/>
      <w:lvlText w:val="o"/>
      <w:lvlJc w:val="left"/>
      <w:pPr>
        <w:ind w:left="7056" w:hanging="354"/>
      </w:pPr>
      <w:rPr>
        <w:rFonts w:ascii="Symbol" w:eastAsia="Symbol" w:hAnsi="Symbol"/>
      </w:rPr>
    </w:lvl>
    <w:lvl w:ilvl="6">
      <w:start w:val="1"/>
      <w:numFmt w:val="bullet"/>
      <w:lvlText w:val="·"/>
      <w:lvlJc w:val="left"/>
      <w:pPr>
        <w:ind w:left="7776" w:hanging="354"/>
      </w:pPr>
      <w:rPr>
        <w:rFonts w:ascii="Symbol" w:eastAsia="Symbol" w:hAnsi="Symbol"/>
      </w:rPr>
    </w:lvl>
    <w:lvl w:ilvl="7">
      <w:start w:val="1"/>
      <w:numFmt w:val="bullet"/>
      <w:lvlText w:val="o"/>
      <w:lvlJc w:val="left"/>
      <w:pPr>
        <w:ind w:left="8496" w:hanging="354"/>
      </w:pPr>
      <w:rPr>
        <w:rFonts w:ascii="Symbol" w:eastAsia="Symbol" w:hAnsi="Symbol"/>
      </w:rPr>
    </w:lvl>
    <w:lvl w:ilvl="8">
      <w:start w:val="1"/>
      <w:numFmt w:val="bullet"/>
      <w:lvlText w:val="·"/>
      <w:lvlJc w:val="left"/>
      <w:pPr>
        <w:ind w:left="9216" w:hanging="354"/>
      </w:pPr>
      <w:rPr>
        <w:rFonts w:ascii="Symbol" w:eastAsia="Symbol" w:hAnsi="Symbol"/>
      </w:rPr>
    </w:lvl>
  </w:abstractNum>
  <w:abstractNum w:abstractNumId="2">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9572AE9"/>
    <w:multiLevelType w:val="hybridMultilevel"/>
    <w:tmpl w:val="AB4612C6"/>
    <w:lvl w:ilvl="0" w:tplc="B616F382">
      <w:start w:val="1"/>
      <w:numFmt w:val="decimal"/>
      <w:lvlText w:val="%1."/>
      <w:lvlJc w:val="left"/>
      <w:pPr>
        <w:ind w:left="760" w:hanging="192"/>
      </w:pPr>
      <w:rPr>
        <w:rFonts w:cs="Times New Roman" w:hint="default"/>
        <w:w w:val="100"/>
      </w:rPr>
    </w:lvl>
    <w:lvl w:ilvl="1" w:tplc="770A4214">
      <w:start w:val="1"/>
      <w:numFmt w:val="decimal"/>
      <w:lvlText w:val="%2."/>
      <w:lvlJc w:val="left"/>
      <w:pPr>
        <w:ind w:left="4287" w:hanging="231"/>
      </w:pPr>
      <w:rPr>
        <w:rFonts w:ascii="Times New Roman" w:eastAsia="Times New Roman" w:hAnsi="Times New Roman" w:cs="Times New Roman" w:hint="default"/>
        <w:b/>
        <w:bCs/>
        <w:w w:val="100"/>
        <w:sz w:val="23"/>
        <w:szCs w:val="23"/>
      </w:rPr>
    </w:lvl>
    <w:lvl w:ilvl="2" w:tplc="8E7CA6F2">
      <w:numFmt w:val="bullet"/>
      <w:lvlText w:val="•"/>
      <w:lvlJc w:val="left"/>
      <w:pPr>
        <w:ind w:left="4937" w:hanging="231"/>
      </w:pPr>
      <w:rPr>
        <w:rFonts w:hint="default"/>
      </w:rPr>
    </w:lvl>
    <w:lvl w:ilvl="3" w:tplc="2222E550">
      <w:numFmt w:val="bullet"/>
      <w:lvlText w:val="•"/>
      <w:lvlJc w:val="left"/>
      <w:pPr>
        <w:ind w:left="5580" w:hanging="231"/>
      </w:pPr>
      <w:rPr>
        <w:rFonts w:hint="default"/>
      </w:rPr>
    </w:lvl>
    <w:lvl w:ilvl="4" w:tplc="EB64E34E">
      <w:numFmt w:val="bullet"/>
      <w:lvlText w:val="•"/>
      <w:lvlJc w:val="left"/>
      <w:pPr>
        <w:ind w:left="6223" w:hanging="231"/>
      </w:pPr>
      <w:rPr>
        <w:rFonts w:hint="default"/>
      </w:rPr>
    </w:lvl>
    <w:lvl w:ilvl="5" w:tplc="B52CC570">
      <w:numFmt w:val="bullet"/>
      <w:lvlText w:val="•"/>
      <w:lvlJc w:val="left"/>
      <w:pPr>
        <w:ind w:left="6866" w:hanging="231"/>
      </w:pPr>
      <w:rPr>
        <w:rFonts w:hint="default"/>
      </w:rPr>
    </w:lvl>
    <w:lvl w:ilvl="6" w:tplc="00065C9E">
      <w:numFmt w:val="bullet"/>
      <w:lvlText w:val="•"/>
      <w:lvlJc w:val="left"/>
      <w:pPr>
        <w:ind w:left="7509" w:hanging="231"/>
      </w:pPr>
      <w:rPr>
        <w:rFonts w:hint="default"/>
      </w:rPr>
    </w:lvl>
    <w:lvl w:ilvl="7" w:tplc="80BC3D38">
      <w:numFmt w:val="bullet"/>
      <w:lvlText w:val="•"/>
      <w:lvlJc w:val="left"/>
      <w:pPr>
        <w:ind w:left="8152" w:hanging="231"/>
      </w:pPr>
      <w:rPr>
        <w:rFonts w:hint="default"/>
      </w:rPr>
    </w:lvl>
    <w:lvl w:ilvl="8" w:tplc="D8A48504">
      <w:numFmt w:val="bullet"/>
      <w:lvlText w:val="•"/>
      <w:lvlJc w:val="left"/>
      <w:pPr>
        <w:ind w:left="8795" w:hanging="231"/>
      </w:pPr>
      <w:rPr>
        <w:rFonts w:hint="default"/>
      </w:rPr>
    </w:lvl>
  </w:abstractNum>
  <w:abstractNum w:abstractNumId="4">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8"/>
  </w:num>
  <w:num w:numId="6">
    <w:abstractNumId w:val="4"/>
  </w:num>
  <w:num w:numId="7">
    <w:abstractNumId w:val="5"/>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A21E3"/>
    <w:rsid w:val="000E36DF"/>
    <w:rsid w:val="00117EA7"/>
    <w:rsid w:val="00146E48"/>
    <w:rsid w:val="001551F8"/>
    <w:rsid w:val="001725D9"/>
    <w:rsid w:val="001E7276"/>
    <w:rsid w:val="001E7A7A"/>
    <w:rsid w:val="001F77D6"/>
    <w:rsid w:val="002A7746"/>
    <w:rsid w:val="0033452D"/>
    <w:rsid w:val="00395C5C"/>
    <w:rsid w:val="003A404F"/>
    <w:rsid w:val="004C1897"/>
    <w:rsid w:val="00522E81"/>
    <w:rsid w:val="00541752"/>
    <w:rsid w:val="00555F98"/>
    <w:rsid w:val="00573D38"/>
    <w:rsid w:val="00574418"/>
    <w:rsid w:val="005B428E"/>
    <w:rsid w:val="005D289F"/>
    <w:rsid w:val="005D5092"/>
    <w:rsid w:val="00652093"/>
    <w:rsid w:val="006610F3"/>
    <w:rsid w:val="006A306D"/>
    <w:rsid w:val="00703D63"/>
    <w:rsid w:val="0074026E"/>
    <w:rsid w:val="007579D4"/>
    <w:rsid w:val="00760F56"/>
    <w:rsid w:val="00881A29"/>
    <w:rsid w:val="00915D5A"/>
    <w:rsid w:val="009311FD"/>
    <w:rsid w:val="009A299A"/>
    <w:rsid w:val="009F6BB4"/>
    <w:rsid w:val="00A50264"/>
    <w:rsid w:val="00AC1A2C"/>
    <w:rsid w:val="00AF7255"/>
    <w:rsid w:val="00C404C1"/>
    <w:rsid w:val="00C6717F"/>
    <w:rsid w:val="00C84416"/>
    <w:rsid w:val="00CE53F3"/>
    <w:rsid w:val="00D10A3B"/>
    <w:rsid w:val="00DD3DB3"/>
    <w:rsid w:val="00E0761A"/>
    <w:rsid w:val="00E56C74"/>
    <w:rsid w:val="00E66355"/>
    <w:rsid w:val="00EA3648"/>
    <w:rsid w:val="00ED4BA3"/>
    <w:rsid w:val="00F003FB"/>
    <w:rsid w:val="00F1618D"/>
    <w:rsid w:val="00F20846"/>
    <w:rsid w:val="00F53C79"/>
    <w:rsid w:val="00F55A10"/>
    <w:rsid w:val="00FC7A13"/>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link w:val="a8"/>
    <w:uiPriority w:val="34"/>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customStyle="1" w:styleId="21">
    <w:name w:val="Обычный2"/>
    <w:rsid w:val="005B428E"/>
    <w:pPr>
      <w:spacing w:after="160" w:line="258" w:lineRule="auto"/>
    </w:pPr>
    <w:rPr>
      <w:rFonts w:ascii="Calibri" w:eastAsia="Calibri" w:hAnsi="Calibri"/>
      <w:sz w:val="24"/>
    </w:rPr>
  </w:style>
  <w:style w:type="character" w:customStyle="1" w:styleId="22">
    <w:name w:val="Основной шрифт абзаца2"/>
    <w:rsid w:val="005B428E"/>
    <w:rPr>
      <w:sz w:val="20"/>
    </w:rPr>
  </w:style>
  <w:style w:type="character" w:customStyle="1" w:styleId="10">
    <w:name w:val="Основной шрифт абзаца1"/>
    <w:rsid w:val="005B428E"/>
  </w:style>
  <w:style w:type="paragraph" w:styleId="aa">
    <w:name w:val="header"/>
    <w:basedOn w:val="a"/>
    <w:link w:val="ab"/>
    <w:rsid w:val="00CE53F3"/>
    <w:pPr>
      <w:tabs>
        <w:tab w:val="center" w:pos="4677"/>
        <w:tab w:val="right" w:pos="9355"/>
      </w:tabs>
      <w:spacing w:line="240" w:lineRule="auto"/>
    </w:pPr>
  </w:style>
  <w:style w:type="character" w:customStyle="1" w:styleId="ab">
    <w:name w:val="Верхний колонтитул Знак"/>
    <w:basedOn w:val="a0"/>
    <w:link w:val="aa"/>
    <w:rsid w:val="00CE53F3"/>
    <w:rPr>
      <w:rFonts w:ascii="Arial" w:eastAsia="Arial" w:hAnsi="Arial" w:cs="Arial"/>
      <w:sz w:val="22"/>
      <w:szCs w:val="22"/>
    </w:rPr>
  </w:style>
  <w:style w:type="paragraph" w:styleId="ac">
    <w:name w:val="footer"/>
    <w:basedOn w:val="a"/>
    <w:link w:val="ad"/>
    <w:rsid w:val="00CE53F3"/>
    <w:pPr>
      <w:tabs>
        <w:tab w:val="center" w:pos="4677"/>
        <w:tab w:val="right" w:pos="9355"/>
      </w:tabs>
      <w:spacing w:line="240" w:lineRule="auto"/>
    </w:pPr>
  </w:style>
  <w:style w:type="character" w:customStyle="1" w:styleId="ad">
    <w:name w:val="Нижний колонтитул Знак"/>
    <w:basedOn w:val="a0"/>
    <w:link w:val="ac"/>
    <w:rsid w:val="00CE53F3"/>
    <w:rPr>
      <w:rFonts w:ascii="Arial" w:eastAsia="Arial" w:hAnsi="Arial" w:cs="Arial"/>
      <w:sz w:val="22"/>
      <w:szCs w:val="22"/>
    </w:rPr>
  </w:style>
  <w:style w:type="paragraph" w:customStyle="1" w:styleId="30">
    <w:name w:val="Обычный3"/>
    <w:qFormat/>
    <w:rsid w:val="00CE53F3"/>
    <w:rPr>
      <w:rFonts w:ascii="Calibri" w:eastAsia="Calibri" w:hAnsi="Calibri"/>
    </w:rPr>
  </w:style>
  <w:style w:type="paragraph" w:customStyle="1" w:styleId="NoSpacing">
    <w:name w:val="No Spacing"/>
    <w:rsid w:val="007579D4"/>
    <w:rPr>
      <w:rFonts w:eastAsia="Calibri"/>
      <w:sz w:val="24"/>
      <w:szCs w:val="24"/>
      <w:lang w:val="uk-UA"/>
    </w:rPr>
  </w:style>
  <w:style w:type="character" w:customStyle="1" w:styleId="11">
    <w:name w:val="Заголовок №1_"/>
    <w:link w:val="12"/>
    <w:rsid w:val="007579D4"/>
    <w:rPr>
      <w:b/>
      <w:bCs/>
      <w:sz w:val="26"/>
      <w:szCs w:val="26"/>
      <w:shd w:val="clear" w:color="auto" w:fill="FFFFFF"/>
    </w:rPr>
  </w:style>
  <w:style w:type="paragraph" w:customStyle="1" w:styleId="12">
    <w:name w:val="Заголовок №1"/>
    <w:basedOn w:val="a"/>
    <w:link w:val="11"/>
    <w:rsid w:val="007579D4"/>
    <w:pPr>
      <w:shd w:val="clear" w:color="auto" w:fill="FFFFFF"/>
      <w:spacing w:after="420" w:line="240" w:lineRule="atLeast"/>
      <w:outlineLvl w:val="0"/>
    </w:pPr>
    <w:rPr>
      <w:rFonts w:ascii="Times New Roman" w:eastAsia="SimSu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mailto:crkl.sumy@ukr.net"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crkl.sumy.ua/" TargetMode="External"/><Relationship Id="rId14" Type="http://schemas.openxmlformats.org/officeDocument/2006/relationships/hyperlink" Target="https://zakon.rada.gov.ua/laws/show/2297-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D0E7D-C0A2-4F26-9FD8-C496B37A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10505</Words>
  <Characters>59881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10</cp:revision>
  <cp:lastPrinted>2023-03-24T14:04:00Z</cp:lastPrinted>
  <dcterms:created xsi:type="dcterms:W3CDTF">2023-03-24T13:30:00Z</dcterms:created>
  <dcterms:modified xsi:type="dcterms:W3CDTF">2023-03-24T14:07:00Z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