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
        <w:gridCol w:w="3276"/>
        <w:gridCol w:w="14"/>
        <w:gridCol w:w="7275"/>
        <w:gridCol w:w="96"/>
      </w:tblGrid>
      <w:tr w:rsidR="00B9251E" w:rsidRPr="004C7459" w14:paraId="6BA6B2A8" w14:textId="77777777" w:rsidTr="00B9251E">
        <w:trPr>
          <w:gridAfter w:val="1"/>
          <w:wAfter w:w="96" w:type="dxa"/>
          <w:trHeight w:val="522"/>
        </w:trPr>
        <w:tc>
          <w:tcPr>
            <w:tcW w:w="0" w:type="auto"/>
            <w:gridSpan w:val="4"/>
            <w:shd w:val="clear" w:color="auto" w:fill="A5A5A5"/>
            <w:vAlign w:val="center"/>
          </w:tcPr>
          <w:p w14:paraId="4B112434" w14:textId="77777777" w:rsidR="00B9251E" w:rsidRPr="004C7459" w:rsidRDefault="00B9251E" w:rsidP="008411F5">
            <w:pPr>
              <w:widowControl w:val="0"/>
              <w:spacing w:after="0" w:line="240" w:lineRule="auto"/>
              <w:ind w:hanging="23"/>
              <w:jc w:val="center"/>
              <w:rPr>
                <w:rFonts w:ascii="Times New Roman" w:eastAsia="Times New Roman" w:hAnsi="Times New Roman"/>
                <w:b/>
                <w:sz w:val="24"/>
                <w:szCs w:val="24"/>
                <w:lang w:val="uk-UA" w:eastAsia="ru-RU"/>
              </w:rPr>
            </w:pPr>
            <w:r w:rsidRPr="004C7459">
              <w:rPr>
                <w:rFonts w:ascii="Times New Roman" w:eastAsia="Times New Roman" w:hAnsi="Times New Roman"/>
                <w:b/>
                <w:sz w:val="24"/>
                <w:szCs w:val="24"/>
                <w:lang w:val="uk-UA" w:eastAsia="ru-RU"/>
              </w:rPr>
              <w:t>Розділ IV. Подання та розкриття тендерної пропозиції</w:t>
            </w:r>
          </w:p>
        </w:tc>
      </w:tr>
      <w:tr w:rsidR="00B9251E" w:rsidRPr="004C7459" w14:paraId="09AFDCCD" w14:textId="77777777" w:rsidTr="00B9251E">
        <w:trPr>
          <w:gridAfter w:val="1"/>
          <w:wAfter w:w="96" w:type="dxa"/>
          <w:trHeight w:val="522"/>
        </w:trPr>
        <w:tc>
          <w:tcPr>
            <w:tcW w:w="3672" w:type="dxa"/>
            <w:gridSpan w:val="2"/>
          </w:tcPr>
          <w:p w14:paraId="7520DA14" w14:textId="77777777" w:rsidR="00B9251E" w:rsidRPr="004C7459" w:rsidRDefault="00B9251E" w:rsidP="008411F5">
            <w:pPr>
              <w:widowControl w:val="0"/>
              <w:spacing w:after="0" w:line="240" w:lineRule="auto"/>
              <w:rPr>
                <w:rFonts w:ascii="Times New Roman" w:eastAsia="Times New Roman" w:hAnsi="Times New Roman"/>
                <w:b/>
                <w:sz w:val="24"/>
                <w:szCs w:val="24"/>
                <w:lang w:val="uk-UA" w:eastAsia="uk-UA"/>
              </w:rPr>
            </w:pPr>
            <w:r w:rsidRPr="004C7459">
              <w:rPr>
                <w:rFonts w:ascii="Times New Roman" w:eastAsia="Times New Roman" w:hAnsi="Times New Roman"/>
                <w:b/>
                <w:sz w:val="24"/>
                <w:szCs w:val="24"/>
                <w:lang w:val="uk-UA"/>
              </w:rPr>
              <w:t>Кінцевий строк подання тендерної пропозиції</w:t>
            </w:r>
          </w:p>
        </w:tc>
        <w:tc>
          <w:tcPr>
            <w:tcW w:w="7289" w:type="dxa"/>
            <w:gridSpan w:val="2"/>
          </w:tcPr>
          <w:p w14:paraId="085B25A2" w14:textId="1003BE68" w:rsidR="00B9251E" w:rsidRPr="004C7459" w:rsidRDefault="00B9251E" w:rsidP="008411F5">
            <w:pPr>
              <w:widowControl w:val="0"/>
              <w:spacing w:after="0" w:line="240" w:lineRule="auto"/>
              <w:jc w:val="both"/>
              <w:rPr>
                <w:rFonts w:ascii="Times New Roman" w:eastAsia="Times New Roman" w:hAnsi="Times New Roman"/>
                <w:b/>
                <w:sz w:val="24"/>
                <w:szCs w:val="24"/>
                <w:lang w:val="uk-UA" w:eastAsia="zh-CN"/>
              </w:rPr>
            </w:pPr>
            <w:r w:rsidRPr="000309F9">
              <w:rPr>
                <w:rFonts w:ascii="Times New Roman" w:eastAsia="Times New Roman" w:hAnsi="Times New Roman"/>
                <w:sz w:val="24"/>
                <w:szCs w:val="24"/>
                <w:lang w:val="uk-UA" w:eastAsia="zh-CN"/>
              </w:rPr>
              <w:t xml:space="preserve">1.1.  Кінцевий строк подання тендерних пропозицій: </w:t>
            </w:r>
            <w:r w:rsidRPr="00B9251E">
              <w:rPr>
                <w:rFonts w:ascii="Times New Roman" w:eastAsia="Times New Roman" w:hAnsi="Times New Roman"/>
                <w:b/>
                <w:bCs/>
                <w:strike/>
                <w:sz w:val="24"/>
                <w:szCs w:val="24"/>
                <w:lang w:val="uk-UA" w:eastAsia="zh-CN"/>
              </w:rPr>
              <w:t>08</w:t>
            </w:r>
            <w:r>
              <w:rPr>
                <w:rFonts w:ascii="Times New Roman" w:eastAsia="Times New Roman" w:hAnsi="Times New Roman"/>
                <w:b/>
                <w:bCs/>
                <w:sz w:val="24"/>
                <w:szCs w:val="24"/>
                <w:lang w:val="uk-UA" w:eastAsia="zh-CN"/>
              </w:rPr>
              <w:t xml:space="preserve"> 1</w:t>
            </w:r>
            <w:r w:rsidR="002A3992">
              <w:rPr>
                <w:rFonts w:ascii="Times New Roman" w:eastAsia="Times New Roman" w:hAnsi="Times New Roman"/>
                <w:b/>
                <w:bCs/>
                <w:sz w:val="24"/>
                <w:szCs w:val="24"/>
                <w:lang w:val="uk-UA" w:eastAsia="zh-CN"/>
              </w:rPr>
              <w:t>2</w:t>
            </w:r>
            <w:r>
              <w:rPr>
                <w:rFonts w:ascii="Times New Roman" w:eastAsia="Times New Roman" w:hAnsi="Times New Roman"/>
                <w:b/>
                <w:bCs/>
                <w:sz w:val="24"/>
                <w:szCs w:val="24"/>
                <w:lang w:val="uk-UA" w:eastAsia="zh-CN"/>
              </w:rPr>
              <w:t xml:space="preserve"> березня</w:t>
            </w:r>
            <w:r w:rsidRPr="000309F9">
              <w:rPr>
                <w:rFonts w:ascii="Times New Roman" w:eastAsia="Times New Roman" w:hAnsi="Times New Roman"/>
                <w:b/>
                <w:sz w:val="24"/>
                <w:szCs w:val="24"/>
                <w:lang w:val="uk-UA" w:eastAsia="zh-CN"/>
              </w:rPr>
              <w:t xml:space="preserve"> 2023 року.</w:t>
            </w:r>
            <w:r w:rsidRPr="004C7459">
              <w:rPr>
                <w:rFonts w:ascii="Times New Roman" w:eastAsia="Times New Roman" w:hAnsi="Times New Roman"/>
                <w:b/>
                <w:sz w:val="24"/>
                <w:szCs w:val="24"/>
                <w:lang w:val="uk-UA" w:eastAsia="zh-CN"/>
              </w:rPr>
              <w:t xml:space="preserve"> </w:t>
            </w:r>
          </w:p>
          <w:p w14:paraId="2BBF6EC7" w14:textId="77777777" w:rsidR="00B9251E" w:rsidRPr="004C7459" w:rsidRDefault="00B9251E" w:rsidP="008411F5">
            <w:pPr>
              <w:spacing w:after="0" w:line="240" w:lineRule="auto"/>
              <w:jc w:val="both"/>
              <w:textAlignment w:val="baseline"/>
              <w:rPr>
                <w:rFonts w:ascii="Times New Roman" w:eastAsia="Times New Roman" w:hAnsi="Times New Roman"/>
                <w:sz w:val="24"/>
                <w:szCs w:val="24"/>
                <w:lang w:val="uk-UA" w:eastAsia="ru-RU"/>
              </w:rPr>
            </w:pPr>
            <w:r w:rsidRPr="004C7459">
              <w:rPr>
                <w:rFonts w:ascii="Times New Roman" w:eastAsia="Times New Roman" w:hAnsi="Times New Roman"/>
                <w:sz w:val="24"/>
                <w:szCs w:val="24"/>
                <w:lang w:val="uk-UA" w:eastAsia="ru-RU"/>
              </w:rPr>
              <w:t>1.2.</w:t>
            </w:r>
            <w:r w:rsidRPr="004C7459">
              <w:rPr>
                <w:rFonts w:ascii="Times New Roman" w:eastAsia="Times New Roman" w:hAnsi="Times New Roman"/>
                <w:sz w:val="24"/>
                <w:szCs w:val="24"/>
                <w:lang w:val="uk-UA" w:eastAsia="ru-RU"/>
              </w:rPr>
              <w:tab/>
              <w:t>Отримана тендерна пропозиція вноситься автоматично до реєстру отриманих тендерних пропозицій.</w:t>
            </w:r>
          </w:p>
          <w:p w14:paraId="6A09813C" w14:textId="77777777" w:rsidR="00B9251E" w:rsidRPr="004C7459" w:rsidRDefault="00B9251E" w:rsidP="008411F5">
            <w:pPr>
              <w:spacing w:after="0" w:line="240" w:lineRule="auto"/>
              <w:jc w:val="both"/>
              <w:textAlignment w:val="baseline"/>
              <w:rPr>
                <w:rFonts w:ascii="Times New Roman" w:eastAsia="Times New Roman" w:hAnsi="Times New Roman"/>
                <w:sz w:val="24"/>
                <w:szCs w:val="24"/>
                <w:lang w:val="uk-UA" w:eastAsia="ru-RU"/>
              </w:rPr>
            </w:pPr>
            <w:r w:rsidRPr="004C7459">
              <w:rPr>
                <w:rFonts w:ascii="Times New Roman" w:eastAsia="Times New Roman" w:hAnsi="Times New Roman"/>
                <w:sz w:val="24"/>
                <w:szCs w:val="24"/>
                <w:lang w:val="uk-UA" w:eastAsia="ru-RU"/>
              </w:rPr>
              <w:t>1.3.</w:t>
            </w:r>
            <w:r w:rsidRPr="004C7459">
              <w:rPr>
                <w:rFonts w:ascii="Times New Roman" w:eastAsia="Times New Roman" w:hAnsi="Times New Roman"/>
                <w:sz w:val="24"/>
                <w:szCs w:val="24"/>
                <w:lang w:val="uk-UA" w:eastAsia="ru-RU"/>
              </w:rPr>
              <w:tab/>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B9251E" w:rsidRPr="00B9251E" w14:paraId="27FE6618" w14:textId="77777777" w:rsidTr="00B9251E">
        <w:trPr>
          <w:trHeight w:val="2018"/>
        </w:trPr>
        <w:tc>
          <w:tcPr>
            <w:tcW w:w="396" w:type="dxa"/>
          </w:tcPr>
          <w:p w14:paraId="319A21BF" w14:textId="77777777" w:rsidR="00B9251E" w:rsidRPr="00B9251E" w:rsidRDefault="00B9251E" w:rsidP="00B9251E">
            <w:pPr>
              <w:widowControl w:val="0"/>
              <w:spacing w:after="0" w:line="240" w:lineRule="auto"/>
              <w:jc w:val="both"/>
              <w:rPr>
                <w:rFonts w:ascii="Times New Roman" w:eastAsia="Times New Roman" w:hAnsi="Times New Roman"/>
                <w:b/>
                <w:sz w:val="24"/>
                <w:szCs w:val="24"/>
                <w:lang w:val="uk-UA" w:eastAsia="uk-UA"/>
              </w:rPr>
            </w:pPr>
            <w:r w:rsidRPr="00B9251E">
              <w:rPr>
                <w:rFonts w:ascii="Times New Roman" w:eastAsia="Times New Roman" w:hAnsi="Times New Roman"/>
                <w:b/>
                <w:sz w:val="24"/>
                <w:szCs w:val="24"/>
                <w:lang w:val="uk-UA" w:eastAsia="uk-UA"/>
              </w:rPr>
              <w:t>6</w:t>
            </w:r>
          </w:p>
        </w:tc>
        <w:tc>
          <w:tcPr>
            <w:tcW w:w="3290" w:type="dxa"/>
            <w:gridSpan w:val="2"/>
          </w:tcPr>
          <w:p w14:paraId="010D716F" w14:textId="77777777" w:rsidR="00B9251E" w:rsidRPr="00B9251E" w:rsidRDefault="00B9251E" w:rsidP="00B9251E">
            <w:pPr>
              <w:widowControl w:val="0"/>
              <w:spacing w:after="0" w:line="240" w:lineRule="auto"/>
              <w:rPr>
                <w:rFonts w:ascii="Times New Roman" w:eastAsia="Times New Roman" w:hAnsi="Times New Roman"/>
                <w:b/>
                <w:sz w:val="24"/>
                <w:szCs w:val="24"/>
                <w:lang w:val="uk-UA" w:eastAsia="uk-UA"/>
              </w:rPr>
            </w:pPr>
            <w:r w:rsidRPr="00B9251E">
              <w:rPr>
                <w:rFonts w:ascii="Times New Roman" w:eastAsia="Times New Roman" w:hAnsi="Times New Roman"/>
                <w:b/>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7371" w:type="dxa"/>
            <w:gridSpan w:val="2"/>
          </w:tcPr>
          <w:p w14:paraId="7BC56904" w14:textId="77777777" w:rsidR="00B9251E" w:rsidRPr="00B9251E" w:rsidRDefault="00B9251E" w:rsidP="00B9251E">
            <w:pPr>
              <w:spacing w:after="0" w:line="240" w:lineRule="auto"/>
              <w:jc w:val="both"/>
              <w:rPr>
                <w:rFonts w:ascii="Times New Roman" w:eastAsia="Times New Roman" w:hAnsi="Times New Roman"/>
                <w:b/>
                <w:sz w:val="24"/>
                <w:szCs w:val="24"/>
                <w:lang w:val="uk-UA" w:eastAsia="ru-RU"/>
              </w:rPr>
            </w:pPr>
            <w:r w:rsidRPr="00B9251E">
              <w:rPr>
                <w:rFonts w:ascii="Times New Roman" w:eastAsia="Times New Roman" w:hAnsi="Times New Roman"/>
                <w:sz w:val="24"/>
                <w:szCs w:val="24"/>
                <w:lang w:val="uk-UA" w:eastAsia="zh-CN"/>
              </w:rPr>
              <w:t>6.1. Учасники процедури закупівлі повинні надати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 згідно Додатку 5 Тендерної документації.</w:t>
            </w:r>
          </w:p>
          <w:p w14:paraId="5F5AB969" w14:textId="77777777" w:rsidR="00B9251E" w:rsidRPr="00B9251E" w:rsidRDefault="00B9251E" w:rsidP="00B9251E">
            <w:pPr>
              <w:spacing w:after="0" w:line="240" w:lineRule="auto"/>
              <w:ind w:left="-32"/>
              <w:jc w:val="both"/>
              <w:textAlignment w:val="baseline"/>
              <w:rPr>
                <w:rFonts w:ascii="Times New Roman" w:eastAsia="Times New Roman" w:hAnsi="Times New Roman"/>
                <w:sz w:val="24"/>
                <w:szCs w:val="24"/>
                <w:lang w:val="uk-UA" w:eastAsia="ru-RU"/>
              </w:rPr>
            </w:pPr>
            <w:r w:rsidRPr="00B9251E">
              <w:rPr>
                <w:rFonts w:ascii="Times New Roman" w:eastAsia="Times New Roman" w:hAnsi="Times New Roman"/>
                <w:sz w:val="24"/>
                <w:szCs w:val="24"/>
                <w:lang w:val="uk-UA" w:eastAsia="ru-RU"/>
              </w:rPr>
              <w:t>6.2. Замовником зазначаються вимоги до предмета закупівлі згідно з </w:t>
            </w:r>
            <w:hyperlink r:id="rId4" w:tgtFrame="_blank" w:history="1">
              <w:r w:rsidRPr="00B9251E">
                <w:rPr>
                  <w:rFonts w:ascii="Times New Roman" w:eastAsia="Times New Roman" w:hAnsi="Times New Roman"/>
                  <w:sz w:val="24"/>
                  <w:szCs w:val="24"/>
                  <w:bdr w:val="none" w:sz="0" w:space="0" w:color="auto" w:frame="1"/>
                  <w:lang w:val="uk-UA" w:eastAsia="ru-RU"/>
                </w:rPr>
                <w:t>ч. 2</w:t>
              </w:r>
            </w:hyperlink>
            <w:r w:rsidRPr="00B9251E">
              <w:rPr>
                <w:rFonts w:ascii="Times New Roman" w:eastAsia="Times New Roman" w:hAnsi="Times New Roman"/>
                <w:sz w:val="24"/>
                <w:szCs w:val="24"/>
                <w:lang w:val="uk-UA" w:eastAsia="ru-RU"/>
              </w:rPr>
              <w:t> ст. 22 Закону.</w:t>
            </w:r>
          </w:p>
          <w:p w14:paraId="3687D95F" w14:textId="77777777" w:rsidR="00B9251E" w:rsidRPr="00B9251E" w:rsidRDefault="00B9251E" w:rsidP="00B9251E">
            <w:pPr>
              <w:spacing w:after="0" w:line="240" w:lineRule="auto"/>
              <w:ind w:left="-32"/>
              <w:jc w:val="both"/>
              <w:textAlignment w:val="baseline"/>
              <w:rPr>
                <w:rFonts w:ascii="Times New Roman" w:eastAsia="Times New Roman" w:hAnsi="Times New Roman"/>
                <w:sz w:val="24"/>
                <w:szCs w:val="24"/>
                <w:lang w:val="uk-UA" w:eastAsia="ru-RU"/>
              </w:rPr>
            </w:pPr>
            <w:r w:rsidRPr="00B9251E">
              <w:rPr>
                <w:rFonts w:ascii="Times New Roman" w:eastAsia="Times New Roman" w:hAnsi="Times New Roman"/>
                <w:sz w:val="24"/>
                <w:szCs w:val="24"/>
                <w:lang w:val="uk-UA" w:eastAsia="ru-RU"/>
              </w:rPr>
              <w:t xml:space="preserve">6.3. Усі посилання у Додатку 5 до </w:t>
            </w:r>
            <w:r w:rsidRPr="00B9251E">
              <w:rPr>
                <w:rFonts w:ascii="Times New Roman" w:eastAsia="Times New Roman" w:hAnsi="Times New Roman"/>
                <w:noProof/>
                <w:sz w:val="24"/>
                <w:szCs w:val="24"/>
                <w:lang w:val="uk-UA" w:eastAsia="ru-RU"/>
              </w:rPr>
              <w:t>тендерної документації</w:t>
            </w:r>
            <w:r w:rsidRPr="00B9251E">
              <w:rPr>
                <w:rFonts w:ascii="Times New Roman" w:eastAsia="Times New Roman" w:hAnsi="Times New Roman"/>
                <w:sz w:val="24"/>
                <w:szCs w:val="24"/>
                <w:lang w:val="uk-UA" w:eastAsia="ru-RU"/>
              </w:rPr>
              <w:t xml:space="preserve">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14AADE64" w14:textId="77777777" w:rsidR="00B9251E" w:rsidRPr="00B9251E" w:rsidRDefault="00B9251E" w:rsidP="00B9251E">
            <w:pPr>
              <w:spacing w:after="0" w:line="240" w:lineRule="auto"/>
              <w:jc w:val="both"/>
              <w:rPr>
                <w:rFonts w:ascii="Times New Roman" w:eastAsia="Times New Roman" w:hAnsi="Times New Roman"/>
                <w:strike/>
                <w:sz w:val="24"/>
                <w:szCs w:val="24"/>
                <w:lang w:val="uk-UA" w:eastAsia="ru-RU"/>
              </w:rPr>
            </w:pPr>
            <w:r w:rsidRPr="00B9251E">
              <w:rPr>
                <w:rFonts w:ascii="Times New Roman" w:eastAsia="Times New Roman" w:hAnsi="Times New Roman"/>
                <w:strike/>
                <w:sz w:val="24"/>
                <w:szCs w:val="24"/>
                <w:lang w:val="uk-UA" w:eastAsia="ru-RU"/>
              </w:rPr>
              <w:t>6.4. Термін придатності з моменту поставки до закінчення реалізації повинен складати не менше 12 місяців.</w:t>
            </w:r>
          </w:p>
          <w:p w14:paraId="7A2263BD" w14:textId="77777777" w:rsidR="00B9251E" w:rsidRPr="00B9251E" w:rsidRDefault="00B9251E" w:rsidP="00B9251E">
            <w:pPr>
              <w:spacing w:after="0" w:line="240" w:lineRule="auto"/>
              <w:jc w:val="both"/>
              <w:rPr>
                <w:rFonts w:ascii="Times New Roman" w:eastAsia="Times New Roman" w:hAnsi="Times New Roman"/>
                <w:sz w:val="24"/>
                <w:szCs w:val="24"/>
                <w:lang w:val="uk-UA" w:eastAsia="ru-RU"/>
              </w:rPr>
            </w:pPr>
            <w:r w:rsidRPr="00B9251E">
              <w:rPr>
                <w:rFonts w:ascii="Times New Roman" w:eastAsia="Times New Roman" w:hAnsi="Times New Roman"/>
                <w:sz w:val="24"/>
                <w:szCs w:val="24"/>
                <w:lang w:val="uk-UA" w:eastAsia="ru-RU"/>
              </w:rPr>
              <w:t>6.5. Якість повинна відповідати вимогам діючого законодавства України.</w:t>
            </w:r>
          </w:p>
          <w:p w14:paraId="14593975" w14:textId="77777777" w:rsidR="00B9251E" w:rsidRPr="00B9251E" w:rsidRDefault="00B9251E" w:rsidP="00B9251E">
            <w:pPr>
              <w:spacing w:after="0" w:line="240" w:lineRule="auto"/>
              <w:jc w:val="both"/>
              <w:rPr>
                <w:rFonts w:ascii="Times New Roman" w:eastAsia="Times New Roman" w:hAnsi="Times New Roman"/>
                <w:sz w:val="24"/>
                <w:szCs w:val="24"/>
                <w:lang w:val="uk-UA" w:eastAsia="ru-RU"/>
              </w:rPr>
            </w:pPr>
            <w:r w:rsidRPr="00B9251E">
              <w:rPr>
                <w:rFonts w:ascii="Times New Roman" w:eastAsia="Times New Roman" w:hAnsi="Times New Roman"/>
                <w:sz w:val="24"/>
                <w:szCs w:val="24"/>
                <w:lang w:val="uk-UA" w:eastAsia="ru-RU"/>
              </w:rPr>
              <w:t>6.6. Доставка товару здійснюється транспортом постачальника, завантажувальні та розвантажувальні роботи проводяться за рахунок постачальника.</w:t>
            </w:r>
          </w:p>
          <w:p w14:paraId="3DFDF148" w14:textId="77777777" w:rsidR="00B9251E" w:rsidRPr="00B9251E" w:rsidRDefault="00B9251E" w:rsidP="00B9251E">
            <w:pPr>
              <w:spacing w:after="0" w:line="240" w:lineRule="auto"/>
              <w:jc w:val="both"/>
              <w:rPr>
                <w:rFonts w:ascii="Times New Roman" w:eastAsia="Times New Roman" w:hAnsi="Times New Roman"/>
                <w:sz w:val="24"/>
                <w:szCs w:val="24"/>
                <w:lang w:val="uk-UA" w:eastAsia="ru-RU"/>
              </w:rPr>
            </w:pPr>
            <w:r w:rsidRPr="00B9251E">
              <w:rPr>
                <w:rFonts w:ascii="Times New Roman" w:eastAsia="Times New Roman" w:hAnsi="Times New Roman"/>
                <w:sz w:val="24"/>
                <w:szCs w:val="24"/>
                <w:lang w:val="uk-UA" w:eastAsia="ru-RU"/>
              </w:rPr>
              <w:t>6.7. У разі поставки неякісного товару або не відповідного товару, такий товар повертається Учаснику (постачальнику) або підлягає обміну за рахунок Учасника.</w:t>
            </w:r>
          </w:p>
          <w:p w14:paraId="521E1E56" w14:textId="77777777" w:rsidR="00B9251E" w:rsidRPr="00B9251E" w:rsidRDefault="00B9251E" w:rsidP="00B9251E">
            <w:pPr>
              <w:widowControl w:val="0"/>
              <w:spacing w:after="0" w:line="240" w:lineRule="auto"/>
              <w:jc w:val="both"/>
              <w:rPr>
                <w:rFonts w:ascii="Times New Roman" w:eastAsia="Times New Roman" w:hAnsi="Times New Roman"/>
                <w:sz w:val="24"/>
                <w:szCs w:val="24"/>
                <w:lang w:val="uk-UA" w:eastAsia="ru-RU"/>
              </w:rPr>
            </w:pPr>
            <w:r w:rsidRPr="00B9251E">
              <w:rPr>
                <w:rFonts w:ascii="Times New Roman" w:eastAsia="Times New Roman" w:hAnsi="Times New Roman"/>
                <w:sz w:val="24"/>
                <w:szCs w:val="24"/>
                <w:shd w:val="clear" w:color="auto" w:fill="FFFFFF"/>
                <w:lang w:val="uk-UA" w:eastAsia="ru-RU"/>
              </w:rPr>
              <w:t>6.8. З метою запобігання закупівлі фальсифікатів та отримання гарантій на своєчасне постачання товару у кількості, якості та строками придатності, учасник надає оригінал гарантійного листа виробника (представництва, філії виробника, якщо їх відповідні повноваження поширюються на територію України), яким  підтверджується  можливість поставки товару, який є предметом закупівлі цих торгів, у необхідній кількості та в терміни. Гарантійний лист виробника повинен включати: повну назву учасника, адресуватися Замовнику, мати назву предмету закупівлі. Допускається надання гарантійного листа учаснику з боку офіційного дистриб’ютора або іншого представника виробника.</w:t>
            </w:r>
          </w:p>
          <w:p w14:paraId="687EB882" w14:textId="77777777" w:rsidR="00B9251E" w:rsidRPr="00B9251E" w:rsidRDefault="00B9251E" w:rsidP="00B9251E">
            <w:pPr>
              <w:spacing w:after="0" w:line="240" w:lineRule="auto"/>
              <w:jc w:val="both"/>
              <w:textAlignment w:val="baseline"/>
              <w:rPr>
                <w:rFonts w:ascii="Times New Roman" w:eastAsia="Times New Roman" w:hAnsi="Times New Roman"/>
                <w:sz w:val="24"/>
                <w:szCs w:val="24"/>
                <w:lang w:val="uk-UA" w:eastAsia="ru-RU"/>
              </w:rPr>
            </w:pPr>
            <w:r w:rsidRPr="00B9251E">
              <w:rPr>
                <w:rFonts w:ascii="Times New Roman CYR" w:eastAsia="Times New Roman" w:hAnsi="Times New Roman CYR" w:cs="Times New Roman CYR"/>
                <w:sz w:val="24"/>
                <w:szCs w:val="24"/>
                <w:lang w:val="uk-UA" w:eastAsia="ar-SA"/>
              </w:rPr>
              <w:t>6.9. Учасник у складі тендерної пропозиції подає необхідні документи на підтвердження технічних вимог щодо предмета закупівлі, встановлених Замовником.</w:t>
            </w:r>
          </w:p>
          <w:p w14:paraId="60794950" w14:textId="77777777" w:rsidR="00B9251E" w:rsidRPr="00B9251E" w:rsidRDefault="00B9251E" w:rsidP="00B9251E">
            <w:pPr>
              <w:shd w:val="clear" w:color="auto" w:fill="FFFFFF"/>
              <w:spacing w:after="0" w:line="240" w:lineRule="auto"/>
              <w:jc w:val="both"/>
              <w:rPr>
                <w:rFonts w:ascii="Times New Roman" w:eastAsia="Times New Roman" w:hAnsi="Times New Roman"/>
                <w:sz w:val="24"/>
                <w:szCs w:val="24"/>
                <w:lang w:val="uk-UA" w:eastAsia="ru-RU"/>
              </w:rPr>
            </w:pPr>
            <w:r w:rsidRPr="00B9251E">
              <w:rPr>
                <w:rFonts w:ascii="Times New Roman" w:eastAsia="Times New Roman" w:hAnsi="Times New Roman"/>
                <w:sz w:val="24"/>
                <w:szCs w:val="24"/>
                <w:lang w:val="uk-UA" w:eastAsia="ru-RU"/>
              </w:rPr>
              <w:t xml:space="preserve">6.10. Невідповідність запропонованого Учасником товару встановленим медико-технічним вимогам (Додаток 5 до </w:t>
            </w:r>
            <w:r w:rsidRPr="00B9251E">
              <w:rPr>
                <w:rFonts w:ascii="Times New Roman" w:eastAsia="Times New Roman" w:hAnsi="Times New Roman"/>
                <w:noProof/>
                <w:sz w:val="24"/>
                <w:szCs w:val="24"/>
                <w:lang w:val="uk-UA" w:eastAsia="ru-RU"/>
              </w:rPr>
              <w:t>тендерної документації</w:t>
            </w:r>
            <w:r w:rsidRPr="00B9251E">
              <w:rPr>
                <w:rFonts w:ascii="Times New Roman" w:eastAsia="Times New Roman" w:hAnsi="Times New Roman"/>
                <w:sz w:val="24"/>
                <w:szCs w:val="24"/>
                <w:lang w:val="uk-UA" w:eastAsia="ru-RU"/>
              </w:rPr>
              <w:t>) розцінюється як невідповідність пропозиції умовам тендерної документації.</w:t>
            </w:r>
          </w:p>
        </w:tc>
      </w:tr>
    </w:tbl>
    <w:p w14:paraId="6B46846A" w14:textId="77777777" w:rsidR="00220940" w:rsidRPr="00B9251E" w:rsidRDefault="00220940">
      <w:pPr>
        <w:rPr>
          <w:lang w:val="uk-UA"/>
        </w:rPr>
      </w:pPr>
    </w:p>
    <w:sectPr w:rsidR="00220940" w:rsidRPr="00B9251E" w:rsidSect="00B9251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09C"/>
    <w:rsid w:val="00220940"/>
    <w:rsid w:val="002A3992"/>
    <w:rsid w:val="0052009C"/>
    <w:rsid w:val="00B9251E"/>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4C1E"/>
  <w15:chartTrackingRefBased/>
  <w15:docId w15:val="{0AB4EF3F-B88C-4EF7-80A2-54A62FD2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251E"/>
    <w:pPr>
      <w:ind w:firstLine="6"/>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2.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2534</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Knizghnik</dc:creator>
  <cp:keywords/>
  <dc:description/>
  <cp:lastModifiedBy>Yuriy Knizghnik</cp:lastModifiedBy>
  <cp:revision>3</cp:revision>
  <dcterms:created xsi:type="dcterms:W3CDTF">2023-03-07T11:00:00Z</dcterms:created>
  <dcterms:modified xsi:type="dcterms:W3CDTF">2023-03-07T11:23:00Z</dcterms:modified>
</cp:coreProperties>
</file>