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7A6" w:rsidRPr="00E4202D" w:rsidRDefault="00A267A6" w:rsidP="00A267A6">
      <w:pPr>
        <w:suppressAutoHyphens w:val="0"/>
        <w:spacing w:line="240" w:lineRule="auto"/>
        <w:jc w:val="right"/>
        <w:rPr>
          <w:rFonts w:cs="Times New Roman"/>
          <w:b/>
          <w:color w:val="auto"/>
          <w:kern w:val="0"/>
          <w:lang w:val="uk-UA" w:eastAsia="uk-UA" w:bidi="ar-SA"/>
        </w:rPr>
      </w:pPr>
      <w:r w:rsidRPr="00E4202D">
        <w:rPr>
          <w:rFonts w:cs="Times New Roman"/>
          <w:b/>
          <w:color w:val="auto"/>
          <w:kern w:val="0"/>
          <w:lang w:val="uk-UA" w:eastAsia="uk-UA" w:bidi="ar-SA"/>
        </w:rPr>
        <w:t>Додаток 3</w:t>
      </w:r>
    </w:p>
    <w:p w:rsidR="00A267A6" w:rsidRPr="00EE5D7E" w:rsidRDefault="00A267A6" w:rsidP="00A267A6">
      <w:pPr>
        <w:jc w:val="right"/>
        <w:rPr>
          <w:rFonts w:cs="Times New Roman"/>
        </w:rPr>
      </w:pP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E5D7E">
        <w:rPr>
          <w:rFonts w:cs="Times New Roman"/>
        </w:rPr>
        <w:t>до тендерної документації</w:t>
      </w:r>
    </w:p>
    <w:p w:rsidR="00A267A6" w:rsidRDefault="00A267A6" w:rsidP="00A267A6">
      <w:pPr>
        <w:suppressAutoHyphens w:val="0"/>
        <w:spacing w:line="240" w:lineRule="auto"/>
        <w:jc w:val="right"/>
        <w:rPr>
          <w:rFonts w:cs="Times New Roman"/>
          <w:i/>
          <w:color w:val="auto"/>
          <w:kern w:val="0"/>
          <w:bdr w:val="none" w:sz="0" w:space="0" w:color="auto" w:frame="1"/>
          <w:lang w:val="uk-UA" w:eastAsia="uk-UA" w:bidi="ar-SA"/>
        </w:rPr>
      </w:pPr>
    </w:p>
    <w:p w:rsidR="00A267A6" w:rsidRDefault="00A267A6" w:rsidP="00A267A6">
      <w:pPr>
        <w:spacing w:line="240" w:lineRule="auto"/>
        <w:jc w:val="center"/>
        <w:outlineLvl w:val="0"/>
        <w:rPr>
          <w:rFonts w:cs="Times New Roman"/>
          <w:b/>
          <w:lang w:eastAsia="ru-RU"/>
        </w:rPr>
      </w:pPr>
      <w:bookmarkStart w:id="0" w:name="_Hlk92869963"/>
      <w:bookmarkStart w:id="1" w:name="_Hlk94019944"/>
    </w:p>
    <w:bookmarkEnd w:id="0"/>
    <w:bookmarkEnd w:id="1"/>
    <w:p w:rsidR="00A267A6" w:rsidRPr="00EF129E" w:rsidRDefault="00A267A6" w:rsidP="00A267A6">
      <w:pPr>
        <w:widowControl w:val="0"/>
        <w:autoSpaceDE w:val="0"/>
        <w:spacing w:line="264" w:lineRule="auto"/>
        <w:jc w:val="center"/>
        <w:rPr>
          <w:rFonts w:ascii="Times New Roman CYR" w:hAnsi="Times New Roman CYR" w:cs="Times New Roman CYR"/>
          <w:b/>
          <w:lang w:val="uk-UA" w:eastAsia="ar-SA"/>
        </w:rPr>
      </w:pPr>
      <w:r w:rsidRPr="00EF129E">
        <w:rPr>
          <w:rFonts w:ascii="Times New Roman CYR" w:hAnsi="Times New Roman CYR" w:cs="Times New Roman CYR"/>
          <w:b/>
          <w:lang w:val="uk-UA" w:eastAsia="ar-SA"/>
        </w:rPr>
        <w:t xml:space="preserve">ТЕХНІЧНЕ ЗАВДАННЯ </w:t>
      </w:r>
    </w:p>
    <w:p w:rsidR="00A267A6" w:rsidRPr="00EF129E" w:rsidRDefault="00A267A6" w:rsidP="00A267A6">
      <w:pPr>
        <w:widowControl w:val="0"/>
        <w:autoSpaceDE w:val="0"/>
        <w:spacing w:line="264" w:lineRule="auto"/>
        <w:jc w:val="center"/>
        <w:rPr>
          <w:rFonts w:ascii="Times New Roman CYR" w:hAnsi="Times New Roman CYR" w:cs="Times New Roman CYR"/>
          <w:b/>
          <w:lang w:val="uk-UA" w:eastAsia="ar-SA"/>
        </w:rPr>
      </w:pPr>
    </w:p>
    <w:p w:rsidR="00A267A6" w:rsidRPr="00F55C49" w:rsidRDefault="00A267A6" w:rsidP="00A267A6">
      <w:pPr>
        <w:shd w:val="clear" w:color="auto" w:fill="FFFFFF"/>
        <w:spacing w:line="240" w:lineRule="auto"/>
        <w:textAlignment w:val="baseline"/>
        <w:outlineLvl w:val="0"/>
        <w:rPr>
          <w:rFonts w:cs="Times New Roman"/>
          <w:b/>
          <w:bCs/>
          <w:color w:val="auto"/>
          <w:kern w:val="36"/>
          <w:sz w:val="28"/>
          <w:szCs w:val="28"/>
        </w:rPr>
      </w:pPr>
      <w:r w:rsidRPr="00F55C49">
        <w:rPr>
          <w:rFonts w:cs="Times New Roman"/>
          <w:b/>
          <w:bCs/>
          <w:color w:val="auto"/>
          <w:kern w:val="36"/>
          <w:sz w:val="28"/>
          <w:szCs w:val="28"/>
        </w:rPr>
        <w:t>Згідно код ДК 021:2015, 33160000-9 «Устаткування для операційних блоків» (код НК 024:2019:22724 - багаторазовий біопсійний пістолет з бічним вирізом</w:t>
      </w:r>
      <w:r>
        <w:rPr>
          <w:rFonts w:cs="Times New Roman"/>
          <w:b/>
          <w:bCs/>
          <w:kern w:val="36"/>
          <w:sz w:val="28"/>
          <w:szCs w:val="28"/>
        </w:rPr>
        <w:t>)</w:t>
      </w:r>
      <w:r w:rsidRPr="00F55C49">
        <w:rPr>
          <w:rFonts w:cs="Times New Roman"/>
          <w:b/>
          <w:bCs/>
          <w:color w:val="auto"/>
          <w:kern w:val="36"/>
          <w:sz w:val="28"/>
          <w:szCs w:val="28"/>
        </w:rPr>
        <w:t xml:space="preserve">. </w:t>
      </w:r>
    </w:p>
    <w:p w:rsidR="00A267A6" w:rsidRPr="00B6256A" w:rsidRDefault="00A267A6" w:rsidP="00A267A6">
      <w:pPr>
        <w:spacing w:before="100" w:beforeAutospacing="1" w:line="240" w:lineRule="auto"/>
        <w:rPr>
          <w:rFonts w:cs="Times New Roman"/>
        </w:rPr>
      </w:pPr>
      <w:r w:rsidRPr="00B6256A">
        <w:rPr>
          <w:rFonts w:cs="Times New Roman"/>
        </w:rPr>
        <w:t xml:space="preserve">1. Товар, запропонований Учасником, повинен відповідати медико – технічним вимогам, встановленим в Технічному завданні, викладеному у даному додатку до тендерної документації (далі – ТД). </w:t>
      </w:r>
    </w:p>
    <w:p w:rsidR="00A267A6" w:rsidRPr="00B6256A" w:rsidRDefault="00A267A6" w:rsidP="00A267A6">
      <w:pPr>
        <w:spacing w:before="100" w:beforeAutospacing="1" w:line="240" w:lineRule="auto"/>
        <w:rPr>
          <w:rFonts w:cs="Times New Roman"/>
        </w:rPr>
      </w:pPr>
      <w:r w:rsidRPr="00B6256A">
        <w:rPr>
          <w:rFonts w:cs="Times New Roman"/>
        </w:rPr>
        <w:t>Документальне підтвердження відповідності товару технічними, якісними та кількісними характеристиками має бути надане у складі тендерної пропозиції, у вигляді нижчевказаної заповненої таблиці.</w:t>
      </w:r>
    </w:p>
    <w:p w:rsidR="00A267A6" w:rsidRPr="00B6256A" w:rsidRDefault="00A267A6" w:rsidP="00A267A6">
      <w:pPr>
        <w:spacing w:before="100" w:beforeAutospacing="1" w:line="240" w:lineRule="auto"/>
        <w:rPr>
          <w:rFonts w:cs="Times New Roman"/>
        </w:rPr>
      </w:pPr>
      <w:r w:rsidRPr="00B6256A">
        <w:rPr>
          <w:rFonts w:cs="Times New Roman"/>
        </w:rPr>
        <w:t>2. Товар має бути зареєстрований в Україні (надати декларацію про відповідність або реєстраційне посвідчення або свідоцтво про державну реєстрацію).</w:t>
      </w:r>
    </w:p>
    <w:p w:rsidR="00A267A6" w:rsidRPr="00B6256A" w:rsidRDefault="00A267A6" w:rsidP="00A267A6">
      <w:pPr>
        <w:spacing w:before="100" w:beforeAutospacing="1" w:line="240" w:lineRule="auto"/>
        <w:rPr>
          <w:rFonts w:cs="Times New Roman"/>
        </w:rPr>
      </w:pPr>
      <w:r w:rsidRPr="00B6256A">
        <w:rPr>
          <w:rFonts w:cs="Times New Roman"/>
        </w:rPr>
        <w:t>4. 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rsidR="00A267A6" w:rsidRPr="00B6256A" w:rsidRDefault="00A267A6" w:rsidP="00A267A6">
      <w:pPr>
        <w:spacing w:before="100" w:beforeAutospacing="1" w:after="198"/>
        <w:ind w:firstLine="709"/>
        <w:rPr>
          <w:rFonts w:cs="Times New Roman"/>
        </w:rPr>
      </w:pPr>
      <w:r>
        <w:rPr>
          <w:rFonts w:cs="Times New Roman"/>
        </w:rPr>
        <w:t>3</w:t>
      </w:r>
      <w:r w:rsidRPr="00B6256A">
        <w:rPr>
          <w:rFonts w:cs="Times New Roman"/>
        </w:rPr>
        <w:t>. 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w:t>
      </w:r>
    </w:p>
    <w:p w:rsidR="00A267A6" w:rsidRPr="00B6256A" w:rsidRDefault="00A267A6" w:rsidP="00A267A6">
      <w:pPr>
        <w:spacing w:before="100" w:beforeAutospacing="1" w:line="240" w:lineRule="auto"/>
        <w:rPr>
          <w:rFonts w:cs="Times New Roman"/>
        </w:rPr>
      </w:pPr>
      <w:r>
        <w:rPr>
          <w:rFonts w:cs="Times New Roman"/>
        </w:rPr>
        <w:t>4</w:t>
      </w:r>
      <w:r w:rsidRPr="00B6256A">
        <w:rPr>
          <w:rFonts w:cs="Times New Roman"/>
        </w:rPr>
        <w:t>. Товар постав</w:t>
      </w:r>
      <w:r>
        <w:rPr>
          <w:rFonts w:cs="Times New Roman"/>
        </w:rPr>
        <w:t>ляється згідно заявки протягом 10</w:t>
      </w:r>
      <w:r w:rsidRPr="00B6256A">
        <w:rPr>
          <w:rFonts w:cs="Times New Roman"/>
        </w:rPr>
        <w:t xml:space="preserve"> календарних днів з моменту отримання заявки від Замовника.</w:t>
      </w:r>
    </w:p>
    <w:p w:rsidR="00A267A6" w:rsidRPr="00B6256A" w:rsidRDefault="00A267A6" w:rsidP="00A267A6">
      <w:pPr>
        <w:spacing w:before="100" w:beforeAutospacing="1" w:line="240" w:lineRule="auto"/>
        <w:rPr>
          <w:rFonts w:cs="Times New Roman"/>
        </w:rPr>
      </w:pPr>
      <w:r>
        <w:rPr>
          <w:rFonts w:cs="Times New Roman"/>
        </w:rPr>
        <w:t>5</w:t>
      </w:r>
      <w:r w:rsidRPr="00B6256A">
        <w:rPr>
          <w:rFonts w:cs="Times New Roman"/>
        </w:rPr>
        <w:t>. Неякісний товар підлягає обов’язковій заміні, але всі витрати пов’язані із заміною товару несе постачальник.</w:t>
      </w:r>
    </w:p>
    <w:p w:rsidR="00A267A6" w:rsidRDefault="00A267A6" w:rsidP="00A267A6">
      <w:pPr>
        <w:spacing w:before="100" w:beforeAutospacing="1" w:line="240" w:lineRule="auto"/>
        <w:rPr>
          <w:rFonts w:cs="Times New Roman"/>
        </w:rPr>
      </w:pPr>
      <w:r>
        <w:rPr>
          <w:rFonts w:cs="Times New Roman"/>
        </w:rPr>
        <w:t>6</w:t>
      </w:r>
      <w:r w:rsidRPr="00B6256A">
        <w:rPr>
          <w:rFonts w:cs="Times New Roman"/>
        </w:rPr>
        <w:t>. Тендерна пропозиція, що не відповідає медико - технічним вимогам, викладеним у цьому пункті буде відхилена як така, що не відповідає вимогам Документації тендерної пропозиції.</w:t>
      </w:r>
    </w:p>
    <w:p w:rsidR="00A267A6" w:rsidRPr="00B6256A" w:rsidRDefault="00A267A6" w:rsidP="00A267A6">
      <w:pPr>
        <w:spacing w:before="100" w:beforeAutospacing="1" w:line="240" w:lineRule="auto"/>
        <w:rPr>
          <w:rFonts w:cs="Times New Roman"/>
        </w:rPr>
      </w:pPr>
    </w:p>
    <w:p w:rsidR="00A267A6" w:rsidRPr="0008105F" w:rsidRDefault="00A267A6" w:rsidP="00A267A6">
      <w:pPr>
        <w:pStyle w:val="3"/>
        <w:numPr>
          <w:ilvl w:val="0"/>
          <w:numId w:val="1"/>
        </w:numPr>
        <w:spacing w:line="240" w:lineRule="auto"/>
        <w:ind w:left="284" w:hanging="284"/>
        <w:jc w:val="both"/>
        <w:rPr>
          <w:rFonts w:ascii="Times New Roman" w:hAnsi="Times New Roman" w:cs="Times New Roman"/>
          <w:b/>
          <w:color w:val="auto"/>
          <w:sz w:val="24"/>
          <w:szCs w:val="24"/>
          <w:lang w:val="uk-UA"/>
        </w:rPr>
      </w:pPr>
      <w:r w:rsidRPr="0008105F">
        <w:rPr>
          <w:rFonts w:ascii="Times New Roman" w:hAnsi="Times New Roman" w:cs="Times New Roman"/>
          <w:b/>
          <w:color w:val="auto"/>
          <w:sz w:val="24"/>
          <w:szCs w:val="24"/>
          <w:lang w:val="uk-UA"/>
        </w:rPr>
        <w:t>Призначення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2476"/>
        <w:gridCol w:w="3544"/>
        <w:gridCol w:w="1701"/>
        <w:gridCol w:w="1701"/>
      </w:tblGrid>
      <w:tr w:rsidR="00A267A6" w:rsidRPr="00DB5292" w:rsidTr="00D757A2">
        <w:trPr>
          <w:trHeight w:val="46"/>
        </w:trPr>
        <w:tc>
          <w:tcPr>
            <w:tcW w:w="751" w:type="dxa"/>
            <w:shd w:val="clear" w:color="auto" w:fill="auto"/>
            <w:vAlign w:val="center"/>
          </w:tcPr>
          <w:p w:rsidR="00A267A6" w:rsidRPr="00DB5292" w:rsidRDefault="00A267A6" w:rsidP="00D757A2">
            <w:pPr>
              <w:jc w:val="center"/>
              <w:rPr>
                <w:rFonts w:eastAsia="Calibri" w:cs="Times New Roman"/>
                <w:b/>
              </w:rPr>
            </w:pPr>
            <w:r w:rsidRPr="00DB5292">
              <w:rPr>
                <w:rFonts w:eastAsia="Calibri" w:cs="Times New Roman"/>
                <w:b/>
              </w:rPr>
              <w:t>№ п/п</w:t>
            </w:r>
          </w:p>
        </w:tc>
        <w:tc>
          <w:tcPr>
            <w:tcW w:w="2476" w:type="dxa"/>
            <w:shd w:val="clear" w:color="auto" w:fill="auto"/>
            <w:vAlign w:val="center"/>
          </w:tcPr>
          <w:p w:rsidR="00A267A6" w:rsidRDefault="00A267A6" w:rsidP="00D757A2">
            <w:pPr>
              <w:jc w:val="center"/>
              <w:rPr>
                <w:rFonts w:cs="Times New Roman"/>
                <w:b/>
                <w:lang w:eastAsia="zh-CN"/>
              </w:rPr>
            </w:pPr>
            <w:r w:rsidRPr="00DB5292">
              <w:rPr>
                <w:rFonts w:cs="Times New Roman"/>
                <w:b/>
                <w:lang w:eastAsia="zh-CN"/>
              </w:rPr>
              <w:t>Найменування товару</w:t>
            </w:r>
          </w:p>
          <w:p w:rsidR="00A267A6" w:rsidRPr="00DB5292" w:rsidRDefault="00A267A6" w:rsidP="00D757A2">
            <w:pPr>
              <w:jc w:val="center"/>
              <w:rPr>
                <w:rFonts w:eastAsia="Calibri" w:cs="Times New Roman"/>
                <w:b/>
              </w:rPr>
            </w:pPr>
          </w:p>
        </w:tc>
        <w:tc>
          <w:tcPr>
            <w:tcW w:w="3544" w:type="dxa"/>
          </w:tcPr>
          <w:p w:rsidR="00A267A6" w:rsidRDefault="00A267A6" w:rsidP="00D757A2">
            <w:pPr>
              <w:jc w:val="center"/>
              <w:rPr>
                <w:rFonts w:cs="Times New Roman"/>
                <w:b/>
                <w:lang w:eastAsia="zh-CN"/>
              </w:rPr>
            </w:pPr>
            <w:r>
              <w:rPr>
                <w:rFonts w:cs="Times New Roman"/>
                <w:b/>
                <w:lang w:eastAsia="zh-CN"/>
              </w:rPr>
              <w:t>Вид</w:t>
            </w:r>
          </w:p>
          <w:p w:rsidR="00A267A6" w:rsidRPr="00DB5292" w:rsidRDefault="00A267A6" w:rsidP="00D757A2">
            <w:pPr>
              <w:jc w:val="center"/>
              <w:rPr>
                <w:rFonts w:cs="Times New Roman"/>
                <w:b/>
                <w:lang w:eastAsia="zh-CN"/>
              </w:rPr>
            </w:pPr>
            <w:r>
              <w:rPr>
                <w:rFonts w:cs="Times New Roman"/>
                <w:b/>
                <w:lang w:eastAsia="zh-CN"/>
              </w:rPr>
              <w:t xml:space="preserve">призначення </w:t>
            </w:r>
          </w:p>
        </w:tc>
        <w:tc>
          <w:tcPr>
            <w:tcW w:w="1701" w:type="dxa"/>
            <w:vAlign w:val="center"/>
          </w:tcPr>
          <w:p w:rsidR="00A267A6" w:rsidRPr="00DB5292" w:rsidRDefault="00A267A6" w:rsidP="00D757A2">
            <w:pPr>
              <w:jc w:val="center"/>
              <w:rPr>
                <w:rFonts w:cs="Times New Roman"/>
                <w:b/>
                <w:bCs/>
                <w:iCs/>
              </w:rPr>
            </w:pPr>
            <w:r w:rsidRPr="00DB5292">
              <w:rPr>
                <w:rFonts w:cs="Times New Roman"/>
                <w:b/>
                <w:bCs/>
                <w:iCs/>
              </w:rPr>
              <w:t>Одиниц</w:t>
            </w:r>
            <w:r>
              <w:rPr>
                <w:rFonts w:cs="Times New Roman"/>
                <w:b/>
                <w:bCs/>
                <w:iCs/>
              </w:rPr>
              <w:t>я</w:t>
            </w:r>
          </w:p>
          <w:p w:rsidR="00A267A6" w:rsidRPr="00DB5292" w:rsidRDefault="00A267A6" w:rsidP="00D757A2">
            <w:pPr>
              <w:jc w:val="center"/>
              <w:rPr>
                <w:rFonts w:cs="Times New Roman"/>
                <w:b/>
                <w:bCs/>
                <w:iCs/>
              </w:rPr>
            </w:pPr>
            <w:r w:rsidRPr="00DB5292">
              <w:rPr>
                <w:rFonts w:cs="Times New Roman"/>
                <w:b/>
                <w:bCs/>
                <w:iCs/>
              </w:rPr>
              <w:t>виміру</w:t>
            </w:r>
          </w:p>
        </w:tc>
        <w:tc>
          <w:tcPr>
            <w:tcW w:w="1701" w:type="dxa"/>
            <w:vAlign w:val="center"/>
          </w:tcPr>
          <w:p w:rsidR="00A267A6" w:rsidRPr="00DB5292" w:rsidRDefault="00A267A6" w:rsidP="00D757A2">
            <w:pPr>
              <w:jc w:val="center"/>
              <w:rPr>
                <w:rFonts w:cs="Times New Roman"/>
                <w:b/>
                <w:bCs/>
                <w:iCs/>
              </w:rPr>
            </w:pPr>
            <w:r w:rsidRPr="00DB5292">
              <w:rPr>
                <w:rFonts w:cs="Times New Roman"/>
                <w:b/>
                <w:bCs/>
                <w:iCs/>
              </w:rPr>
              <w:t>Кількість</w:t>
            </w:r>
          </w:p>
        </w:tc>
      </w:tr>
      <w:tr w:rsidR="00A267A6" w:rsidRPr="00DB5292" w:rsidTr="00D757A2">
        <w:trPr>
          <w:trHeight w:val="1008"/>
        </w:trPr>
        <w:tc>
          <w:tcPr>
            <w:tcW w:w="751" w:type="dxa"/>
            <w:shd w:val="clear" w:color="auto" w:fill="auto"/>
          </w:tcPr>
          <w:p w:rsidR="00A267A6" w:rsidRPr="00DB5292" w:rsidRDefault="00A267A6" w:rsidP="00D757A2">
            <w:pPr>
              <w:jc w:val="center"/>
              <w:rPr>
                <w:rFonts w:eastAsia="Calibri" w:cs="Times New Roman"/>
                <w:bCs/>
                <w:lang w:bidi="uk-UA"/>
              </w:rPr>
            </w:pPr>
            <w:r w:rsidRPr="00DB5292">
              <w:rPr>
                <w:rFonts w:eastAsia="Calibri" w:cs="Times New Roman"/>
                <w:bCs/>
                <w:lang w:bidi="uk-UA"/>
              </w:rPr>
              <w:t>1</w:t>
            </w:r>
            <w:r>
              <w:rPr>
                <w:rFonts w:eastAsia="Calibri" w:cs="Times New Roman"/>
                <w:bCs/>
                <w:lang w:bidi="uk-UA"/>
              </w:rPr>
              <w:t>.</w:t>
            </w:r>
          </w:p>
        </w:tc>
        <w:tc>
          <w:tcPr>
            <w:tcW w:w="2476" w:type="dxa"/>
            <w:shd w:val="clear" w:color="auto" w:fill="auto"/>
          </w:tcPr>
          <w:p w:rsidR="00A267A6" w:rsidRPr="0038348F" w:rsidRDefault="00A267A6" w:rsidP="00D757A2">
            <w:pPr>
              <w:pStyle w:val="1"/>
              <w:shd w:val="clear" w:color="auto" w:fill="FFFFFF"/>
              <w:spacing w:before="0"/>
              <w:jc w:val="both"/>
              <w:textAlignment w:val="baseline"/>
              <w:rPr>
                <w:sz w:val="18"/>
                <w:szCs w:val="18"/>
              </w:rPr>
            </w:pPr>
            <w:r w:rsidRPr="0038348F">
              <w:rPr>
                <w:sz w:val="18"/>
                <w:szCs w:val="18"/>
              </w:rPr>
              <w:t>НК 024:2019:22724 багаторазовий біопсійний пістолет з бічним вирізом</w:t>
            </w:r>
          </w:p>
          <w:p w:rsidR="00A267A6" w:rsidRPr="005276D9" w:rsidRDefault="00A267A6" w:rsidP="00D757A2">
            <w:pPr>
              <w:jc w:val="both"/>
              <w:rPr>
                <w:rFonts w:eastAsia="Calibri" w:cs="Times New Roman"/>
              </w:rPr>
            </w:pPr>
            <w:r w:rsidRPr="000B5D0C">
              <w:rPr>
                <w:rFonts w:cs="Times New Roman"/>
                <w:sz w:val="23"/>
                <w:szCs w:val="23"/>
              </w:rPr>
              <w:t>«Автоматични</w:t>
            </w:r>
            <w:r>
              <w:rPr>
                <w:rFonts w:cs="Times New Roman"/>
                <w:sz w:val="23"/>
                <w:szCs w:val="23"/>
              </w:rPr>
              <w:t>й багаторазовий пістолет»</w:t>
            </w:r>
          </w:p>
        </w:tc>
        <w:tc>
          <w:tcPr>
            <w:tcW w:w="3544" w:type="dxa"/>
          </w:tcPr>
          <w:p w:rsidR="00A267A6" w:rsidRPr="0054452F" w:rsidRDefault="00A267A6" w:rsidP="00D757A2">
            <w:pPr>
              <w:jc w:val="both"/>
              <w:rPr>
                <w:rFonts w:cs="Times New Roman"/>
              </w:rPr>
            </w:pPr>
            <w:r>
              <w:rPr>
                <w:rFonts w:cs="Times New Roman"/>
                <w:sz w:val="23"/>
                <w:szCs w:val="23"/>
              </w:rPr>
              <w:t>Для вивчення м</w:t>
            </w:r>
            <w:r w:rsidRPr="005276D9">
              <w:rPr>
                <w:rFonts w:cs="Times New Roman"/>
                <w:sz w:val="23"/>
                <w:szCs w:val="23"/>
              </w:rPr>
              <w:t>’</w:t>
            </w:r>
            <w:r>
              <w:rPr>
                <w:rFonts w:cs="Times New Roman"/>
                <w:sz w:val="23"/>
                <w:szCs w:val="23"/>
              </w:rPr>
              <w:t>яких тканин, таких, як молочна залоза, простати залози, шитовидна залоза, легені, печінка, простата, селезінка, вузли лімфи та інші.</w:t>
            </w:r>
          </w:p>
        </w:tc>
        <w:tc>
          <w:tcPr>
            <w:tcW w:w="1701" w:type="dxa"/>
            <w:vAlign w:val="center"/>
          </w:tcPr>
          <w:p w:rsidR="00A267A6" w:rsidRPr="00B749E8" w:rsidRDefault="00A267A6" w:rsidP="00D757A2">
            <w:pPr>
              <w:jc w:val="center"/>
              <w:rPr>
                <w:rFonts w:cs="Times New Roman"/>
                <w:bCs/>
                <w:iCs/>
              </w:rPr>
            </w:pPr>
            <w:r>
              <w:rPr>
                <w:rFonts w:cs="Times New Roman"/>
                <w:bCs/>
                <w:iCs/>
              </w:rPr>
              <w:t>шт</w:t>
            </w:r>
          </w:p>
        </w:tc>
        <w:tc>
          <w:tcPr>
            <w:tcW w:w="1701" w:type="dxa"/>
            <w:vAlign w:val="center"/>
          </w:tcPr>
          <w:p w:rsidR="00A267A6" w:rsidRPr="00B749E8" w:rsidRDefault="00A267A6" w:rsidP="00D757A2">
            <w:pPr>
              <w:jc w:val="center"/>
              <w:rPr>
                <w:rFonts w:cs="Times New Roman"/>
                <w:bCs/>
                <w:iCs/>
              </w:rPr>
            </w:pPr>
            <w:r w:rsidRPr="00B749E8">
              <w:rPr>
                <w:rFonts w:cs="Times New Roman"/>
                <w:bCs/>
                <w:iCs/>
              </w:rPr>
              <w:t>1</w:t>
            </w:r>
          </w:p>
        </w:tc>
      </w:tr>
    </w:tbl>
    <w:p w:rsidR="00A267A6" w:rsidRDefault="00A267A6" w:rsidP="00A267A6">
      <w:pPr>
        <w:rPr>
          <w:b/>
        </w:rPr>
      </w:pPr>
      <w:r>
        <w:rPr>
          <w:rFonts w:cs="Times New Roman"/>
          <w:b/>
        </w:rPr>
        <w:t>2</w:t>
      </w:r>
      <w:r w:rsidRPr="0008105F">
        <w:rPr>
          <w:rFonts w:cs="Times New Roman"/>
          <w:b/>
        </w:rPr>
        <w:t>. Комплектація</w:t>
      </w:r>
      <w:r w:rsidRPr="00A90052">
        <w:rPr>
          <w:b/>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7095"/>
        <w:gridCol w:w="2410"/>
      </w:tblGrid>
      <w:tr w:rsidR="00A267A6" w:rsidRPr="00A90052" w:rsidTr="00D757A2">
        <w:trPr>
          <w:trHeight w:val="264"/>
        </w:trPr>
        <w:tc>
          <w:tcPr>
            <w:tcW w:w="560" w:type="dxa"/>
          </w:tcPr>
          <w:p w:rsidR="00A267A6" w:rsidRPr="0054452F" w:rsidRDefault="00A267A6" w:rsidP="00D757A2">
            <w:pPr>
              <w:jc w:val="center"/>
              <w:rPr>
                <w:rFonts w:cs="Times New Roman"/>
              </w:rPr>
            </w:pPr>
            <w:r w:rsidRPr="0054452F">
              <w:rPr>
                <w:rFonts w:cs="Times New Roman"/>
                <w:b/>
              </w:rPr>
              <w:lastRenderedPageBreak/>
              <w:t>№</w:t>
            </w:r>
          </w:p>
        </w:tc>
        <w:tc>
          <w:tcPr>
            <w:tcW w:w="7095" w:type="dxa"/>
            <w:vAlign w:val="center"/>
          </w:tcPr>
          <w:p w:rsidR="00A267A6" w:rsidRPr="0054452F" w:rsidRDefault="00A267A6" w:rsidP="00D757A2">
            <w:pPr>
              <w:pStyle w:val="FR2"/>
              <w:jc w:val="center"/>
              <w:rPr>
                <w:b/>
                <w:sz w:val="24"/>
                <w:szCs w:val="24"/>
                <w:highlight w:val="yellow"/>
                <w:lang w:val="uk-UA" w:eastAsia="uk-UA"/>
              </w:rPr>
            </w:pPr>
            <w:r w:rsidRPr="0054452F">
              <w:rPr>
                <w:b/>
                <w:sz w:val="24"/>
                <w:szCs w:val="24"/>
                <w:lang w:val="uk-UA"/>
              </w:rPr>
              <w:t>Найменування</w:t>
            </w:r>
          </w:p>
        </w:tc>
        <w:tc>
          <w:tcPr>
            <w:tcW w:w="2410" w:type="dxa"/>
          </w:tcPr>
          <w:p w:rsidR="00A267A6" w:rsidRPr="0008105F" w:rsidRDefault="00A267A6" w:rsidP="00D757A2">
            <w:pPr>
              <w:jc w:val="center"/>
              <w:rPr>
                <w:rFonts w:cs="Times New Roman"/>
                <w:b/>
              </w:rPr>
            </w:pPr>
            <w:r w:rsidRPr="0008105F">
              <w:rPr>
                <w:rFonts w:cs="Times New Roman"/>
                <w:b/>
              </w:rPr>
              <w:t>Кількість</w:t>
            </w:r>
          </w:p>
        </w:tc>
      </w:tr>
      <w:tr w:rsidR="00A267A6" w:rsidRPr="00A90052" w:rsidTr="00D757A2">
        <w:trPr>
          <w:trHeight w:val="264"/>
        </w:trPr>
        <w:tc>
          <w:tcPr>
            <w:tcW w:w="560" w:type="dxa"/>
          </w:tcPr>
          <w:p w:rsidR="00A267A6" w:rsidRPr="0054452F" w:rsidRDefault="00A267A6" w:rsidP="00D757A2">
            <w:pPr>
              <w:jc w:val="center"/>
              <w:rPr>
                <w:rFonts w:cs="Times New Roman"/>
              </w:rPr>
            </w:pPr>
            <w:r w:rsidRPr="0054452F">
              <w:rPr>
                <w:rFonts w:cs="Times New Roman"/>
              </w:rPr>
              <w:t>1.</w:t>
            </w:r>
          </w:p>
        </w:tc>
        <w:tc>
          <w:tcPr>
            <w:tcW w:w="7095" w:type="dxa"/>
            <w:vAlign w:val="center"/>
          </w:tcPr>
          <w:p w:rsidR="00A267A6" w:rsidRPr="00886818" w:rsidRDefault="00A267A6" w:rsidP="00D757A2">
            <w:pPr>
              <w:pStyle w:val="FR2"/>
              <w:jc w:val="left"/>
              <w:rPr>
                <w:szCs w:val="22"/>
                <w:lang w:val="uk-UA" w:eastAsia="uk-UA"/>
              </w:rPr>
            </w:pPr>
            <w:r w:rsidRPr="002F7949">
              <w:rPr>
                <w:color w:val="000000"/>
                <w:szCs w:val="22"/>
              </w:rPr>
              <w:t>Автоматични</w:t>
            </w:r>
            <w:r>
              <w:rPr>
                <w:color w:val="000000"/>
                <w:szCs w:val="22"/>
              </w:rPr>
              <w:t xml:space="preserve">й багаторазовий пістолет </w:t>
            </w:r>
          </w:p>
        </w:tc>
        <w:tc>
          <w:tcPr>
            <w:tcW w:w="2410" w:type="dxa"/>
          </w:tcPr>
          <w:p w:rsidR="00A267A6" w:rsidRPr="0054452F" w:rsidRDefault="00A267A6" w:rsidP="00D757A2">
            <w:pPr>
              <w:jc w:val="center"/>
              <w:rPr>
                <w:rFonts w:cs="Times New Roman"/>
              </w:rPr>
            </w:pPr>
            <w:r w:rsidRPr="0054452F">
              <w:rPr>
                <w:rFonts w:cs="Times New Roman"/>
              </w:rPr>
              <w:t>1 шт.</w:t>
            </w:r>
          </w:p>
        </w:tc>
      </w:tr>
    </w:tbl>
    <w:p w:rsidR="00A267A6" w:rsidRPr="0008105F" w:rsidRDefault="00A267A6" w:rsidP="00A267A6">
      <w:pPr>
        <w:rPr>
          <w:rFonts w:cs="Times New Roman"/>
          <w:b/>
        </w:rPr>
      </w:pPr>
      <w:r>
        <w:rPr>
          <w:rFonts w:cs="Times New Roman"/>
          <w:b/>
        </w:rPr>
        <w:t>3</w:t>
      </w:r>
      <w:r w:rsidRPr="0008105F">
        <w:rPr>
          <w:rFonts w:cs="Times New Roman"/>
          <w:b/>
        </w:rPr>
        <w:t>. Технічні параметри: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7231"/>
        <w:gridCol w:w="2268"/>
      </w:tblGrid>
      <w:tr w:rsidR="00A267A6" w:rsidRPr="0008105F" w:rsidTr="00D757A2">
        <w:trPr>
          <w:trHeight w:val="341"/>
        </w:trPr>
        <w:tc>
          <w:tcPr>
            <w:tcW w:w="566" w:type="dxa"/>
          </w:tcPr>
          <w:p w:rsidR="00A267A6" w:rsidRPr="0008105F" w:rsidRDefault="00A267A6" w:rsidP="00D757A2">
            <w:pPr>
              <w:jc w:val="center"/>
              <w:rPr>
                <w:rFonts w:cs="Times New Roman"/>
              </w:rPr>
            </w:pPr>
            <w:r w:rsidRPr="0008105F">
              <w:rPr>
                <w:rFonts w:cs="Times New Roman"/>
                <w:b/>
              </w:rPr>
              <w:t>№</w:t>
            </w:r>
          </w:p>
        </w:tc>
        <w:tc>
          <w:tcPr>
            <w:tcW w:w="7231" w:type="dxa"/>
          </w:tcPr>
          <w:p w:rsidR="00A267A6" w:rsidRPr="0008105F" w:rsidRDefault="00A267A6" w:rsidP="00D757A2">
            <w:pPr>
              <w:jc w:val="center"/>
              <w:rPr>
                <w:rFonts w:cs="Times New Roman"/>
                <w:b/>
              </w:rPr>
            </w:pPr>
            <w:r w:rsidRPr="0008105F">
              <w:rPr>
                <w:rFonts w:cs="Times New Roman"/>
                <w:b/>
                <w:bCs/>
              </w:rPr>
              <w:t>Найменування</w:t>
            </w:r>
          </w:p>
        </w:tc>
        <w:tc>
          <w:tcPr>
            <w:tcW w:w="2268" w:type="dxa"/>
          </w:tcPr>
          <w:p w:rsidR="00A267A6" w:rsidRPr="0008105F" w:rsidRDefault="00A267A6" w:rsidP="00D757A2">
            <w:pPr>
              <w:jc w:val="center"/>
              <w:rPr>
                <w:rFonts w:cs="Times New Roman"/>
              </w:rPr>
            </w:pPr>
            <w:r>
              <w:rPr>
                <w:rFonts w:cs="Times New Roman"/>
              </w:rPr>
              <w:t>Вимоги</w:t>
            </w:r>
          </w:p>
        </w:tc>
      </w:tr>
      <w:tr w:rsidR="00A267A6" w:rsidRPr="0008105F" w:rsidTr="00D757A2">
        <w:trPr>
          <w:trHeight w:val="341"/>
        </w:trPr>
        <w:tc>
          <w:tcPr>
            <w:tcW w:w="566" w:type="dxa"/>
            <w:tcBorders>
              <w:top w:val="single" w:sz="4" w:space="0" w:color="auto"/>
            </w:tcBorders>
          </w:tcPr>
          <w:p w:rsidR="00A267A6" w:rsidRPr="0008105F" w:rsidRDefault="00A267A6" w:rsidP="00D757A2">
            <w:pPr>
              <w:jc w:val="center"/>
              <w:rPr>
                <w:rFonts w:cs="Times New Roman"/>
              </w:rPr>
            </w:pPr>
            <w:r w:rsidRPr="0008105F">
              <w:rPr>
                <w:rFonts w:cs="Times New Roman"/>
              </w:rPr>
              <w:t>1.</w:t>
            </w:r>
          </w:p>
        </w:tc>
        <w:tc>
          <w:tcPr>
            <w:tcW w:w="7231" w:type="dxa"/>
          </w:tcPr>
          <w:p w:rsidR="00A267A6" w:rsidRPr="0008105F" w:rsidRDefault="00A267A6" w:rsidP="00D757A2">
            <w:pPr>
              <w:autoSpaceDE w:val="0"/>
              <w:autoSpaceDN w:val="0"/>
              <w:adjustRightInd w:val="0"/>
              <w:jc w:val="both"/>
              <w:rPr>
                <w:rFonts w:cs="Times New Roman"/>
              </w:rPr>
            </w:pPr>
            <w:r w:rsidRPr="00F7210D">
              <w:rPr>
                <w:rFonts w:cs="Times New Roman"/>
                <w:b/>
              </w:rPr>
              <w:t>Автоматични</w:t>
            </w:r>
            <w:r>
              <w:rPr>
                <w:rFonts w:cs="Times New Roman"/>
                <w:b/>
              </w:rPr>
              <w:t>й багаторазовий пістолет</w:t>
            </w:r>
            <w:r>
              <w:rPr>
                <w:rFonts w:cs="Times New Roman"/>
              </w:rPr>
              <w:t xml:space="preserve"> - </w:t>
            </w:r>
            <w:r w:rsidRPr="00990541">
              <w:rPr>
                <w:rFonts w:eastAsia="Calibri" w:cs="Times New Roman"/>
              </w:rPr>
              <w:t>Багаторазовий біопсійний пістолет, оснащений системою послідовного введення канюлі і стилету. Для кращого входу в м’яку тканину та виходу з неї канюля та стилет повинні мати поліровану поверхню та ультра гострі кінчики. Для гнучкості і зручності повинно  бути подвійне проникнення (22 мм або 15 мм). Пістолет повинен мати боковий вхід для голки, безпечний у відтворенні випадкового пострілу та запобіжник, що знаходиться зверху</w:t>
            </w:r>
            <w:r>
              <w:rPr>
                <w:rFonts w:eastAsia="Calibri" w:cs="Times New Roman"/>
              </w:rPr>
              <w:t>. Індикатор готовності системи.</w:t>
            </w:r>
          </w:p>
        </w:tc>
        <w:tc>
          <w:tcPr>
            <w:tcW w:w="2268" w:type="dxa"/>
          </w:tcPr>
          <w:p w:rsidR="00A267A6" w:rsidRPr="0008105F" w:rsidRDefault="00A267A6" w:rsidP="00D757A2">
            <w:pPr>
              <w:rPr>
                <w:rFonts w:cs="Times New Roman"/>
              </w:rPr>
            </w:pPr>
            <w:r w:rsidRPr="0008105F">
              <w:rPr>
                <w:rFonts w:cs="Times New Roman"/>
              </w:rPr>
              <w:t>наявність</w:t>
            </w:r>
          </w:p>
        </w:tc>
      </w:tr>
    </w:tbl>
    <w:p w:rsidR="00A267A6" w:rsidRPr="0008105F" w:rsidRDefault="00A267A6" w:rsidP="00A267A6">
      <w:pPr>
        <w:rPr>
          <w:rFonts w:cs="Times New Roman"/>
          <w:b/>
        </w:rPr>
      </w:pPr>
      <w:r>
        <w:rPr>
          <w:rFonts w:cs="Times New Roman"/>
          <w:b/>
        </w:rPr>
        <w:t>4</w:t>
      </w:r>
      <w:r w:rsidRPr="0008105F">
        <w:rPr>
          <w:rFonts w:cs="Times New Roman"/>
          <w:b/>
        </w:rPr>
        <w:t>. Інші умови: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gridCol w:w="7429"/>
        <w:gridCol w:w="1916"/>
      </w:tblGrid>
      <w:tr w:rsidR="00A267A6" w:rsidRPr="0008105F" w:rsidTr="00D757A2">
        <w:tc>
          <w:tcPr>
            <w:tcW w:w="259" w:type="pct"/>
            <w:tcBorders>
              <w:top w:val="single" w:sz="4" w:space="0" w:color="auto"/>
              <w:left w:val="single" w:sz="4" w:space="0" w:color="auto"/>
              <w:bottom w:val="single" w:sz="4" w:space="0" w:color="auto"/>
              <w:right w:val="single" w:sz="4" w:space="0" w:color="auto"/>
            </w:tcBorders>
          </w:tcPr>
          <w:p w:rsidR="00A267A6" w:rsidRPr="0008105F" w:rsidRDefault="00A267A6" w:rsidP="00D757A2">
            <w:pPr>
              <w:ind w:left="-129" w:firstLine="129"/>
              <w:jc w:val="center"/>
              <w:rPr>
                <w:rFonts w:cs="Times New Roman"/>
              </w:rPr>
            </w:pPr>
            <w:r w:rsidRPr="0008105F">
              <w:rPr>
                <w:rFonts w:cs="Times New Roman"/>
                <w:b/>
              </w:rPr>
              <w:t>№</w:t>
            </w:r>
          </w:p>
        </w:tc>
        <w:tc>
          <w:tcPr>
            <w:tcW w:w="3769" w:type="pct"/>
            <w:tcBorders>
              <w:top w:val="single" w:sz="4" w:space="0" w:color="auto"/>
              <w:left w:val="single" w:sz="4" w:space="0" w:color="auto"/>
              <w:bottom w:val="single" w:sz="4" w:space="0" w:color="auto"/>
              <w:right w:val="single" w:sz="4" w:space="0" w:color="auto"/>
            </w:tcBorders>
          </w:tcPr>
          <w:p w:rsidR="00A267A6" w:rsidRPr="0008105F" w:rsidRDefault="00A267A6" w:rsidP="00D757A2">
            <w:pPr>
              <w:jc w:val="center"/>
              <w:rPr>
                <w:rFonts w:cs="Times New Roman"/>
                <w:b/>
              </w:rPr>
            </w:pPr>
            <w:r w:rsidRPr="0008105F">
              <w:rPr>
                <w:rFonts w:cs="Times New Roman"/>
                <w:b/>
              </w:rPr>
              <w:t>Документи на прилад</w:t>
            </w:r>
          </w:p>
          <w:p w:rsidR="00A267A6" w:rsidRPr="0008105F" w:rsidRDefault="00A267A6" w:rsidP="00D757A2">
            <w:pPr>
              <w:jc w:val="center"/>
              <w:rPr>
                <w:rFonts w:cs="Times New Roman"/>
                <w:b/>
              </w:rPr>
            </w:pPr>
          </w:p>
        </w:tc>
        <w:tc>
          <w:tcPr>
            <w:tcW w:w="972" w:type="pct"/>
            <w:tcBorders>
              <w:top w:val="single" w:sz="4" w:space="0" w:color="auto"/>
              <w:left w:val="single" w:sz="4" w:space="0" w:color="auto"/>
              <w:bottom w:val="single" w:sz="4" w:space="0" w:color="auto"/>
              <w:right w:val="single" w:sz="4" w:space="0" w:color="auto"/>
            </w:tcBorders>
          </w:tcPr>
          <w:p w:rsidR="00A267A6" w:rsidRPr="0008105F" w:rsidRDefault="00A267A6" w:rsidP="00D757A2">
            <w:pPr>
              <w:jc w:val="center"/>
              <w:rPr>
                <w:rFonts w:cs="Times New Roman"/>
                <w:b/>
              </w:rPr>
            </w:pPr>
            <w:r w:rsidRPr="0008105F">
              <w:rPr>
                <w:rFonts w:cs="Times New Roman"/>
                <w:b/>
              </w:rPr>
              <w:t>Вимога</w:t>
            </w:r>
          </w:p>
        </w:tc>
      </w:tr>
      <w:tr w:rsidR="00A267A6" w:rsidRPr="0008105F" w:rsidTr="00D757A2">
        <w:tc>
          <w:tcPr>
            <w:tcW w:w="259" w:type="pct"/>
            <w:tcBorders>
              <w:top w:val="single" w:sz="4" w:space="0" w:color="auto"/>
              <w:left w:val="single" w:sz="4" w:space="0" w:color="auto"/>
              <w:bottom w:val="single" w:sz="4" w:space="0" w:color="auto"/>
              <w:right w:val="single" w:sz="4" w:space="0" w:color="auto"/>
            </w:tcBorders>
          </w:tcPr>
          <w:p w:rsidR="00A267A6" w:rsidRPr="0008105F" w:rsidRDefault="00A267A6" w:rsidP="00D757A2">
            <w:pPr>
              <w:autoSpaceDE w:val="0"/>
              <w:autoSpaceDN w:val="0"/>
              <w:adjustRightInd w:val="0"/>
              <w:jc w:val="center"/>
              <w:rPr>
                <w:rFonts w:cs="Times New Roman"/>
              </w:rPr>
            </w:pPr>
            <w:r w:rsidRPr="0008105F">
              <w:rPr>
                <w:rFonts w:cs="Times New Roman"/>
              </w:rPr>
              <w:t>1</w:t>
            </w:r>
            <w:r>
              <w:rPr>
                <w:rFonts w:cs="Times New Roman"/>
              </w:rPr>
              <w:t>.</w:t>
            </w:r>
          </w:p>
        </w:tc>
        <w:tc>
          <w:tcPr>
            <w:tcW w:w="3769" w:type="pct"/>
            <w:tcBorders>
              <w:top w:val="single" w:sz="4" w:space="0" w:color="auto"/>
              <w:left w:val="single" w:sz="4" w:space="0" w:color="auto"/>
              <w:bottom w:val="single" w:sz="4" w:space="0" w:color="auto"/>
              <w:right w:val="single" w:sz="4" w:space="0" w:color="auto"/>
            </w:tcBorders>
          </w:tcPr>
          <w:p w:rsidR="00A267A6" w:rsidRPr="0008105F" w:rsidRDefault="00A267A6" w:rsidP="00D757A2">
            <w:pPr>
              <w:autoSpaceDE w:val="0"/>
              <w:autoSpaceDN w:val="0"/>
              <w:adjustRightInd w:val="0"/>
              <w:rPr>
                <w:rFonts w:cs="Times New Roman"/>
              </w:rPr>
            </w:pPr>
            <w:r w:rsidRPr="0008105F">
              <w:rPr>
                <w:rFonts w:cs="Times New Roman"/>
              </w:rPr>
              <w:t xml:space="preserve">Декларація </w:t>
            </w:r>
            <w:r>
              <w:rPr>
                <w:rFonts w:cs="Times New Roman"/>
              </w:rPr>
              <w:t xml:space="preserve">про </w:t>
            </w:r>
            <w:r w:rsidRPr="0008105F">
              <w:rPr>
                <w:rFonts w:cs="Times New Roman"/>
              </w:rPr>
              <w:t>відповідн</w:t>
            </w:r>
            <w:r>
              <w:rPr>
                <w:rFonts w:cs="Times New Roman"/>
              </w:rPr>
              <w:t>і</w:t>
            </w:r>
            <w:r w:rsidRPr="0008105F">
              <w:rPr>
                <w:rFonts w:cs="Times New Roman"/>
              </w:rPr>
              <w:t>ст</w:t>
            </w:r>
            <w:r>
              <w:rPr>
                <w:rFonts w:cs="Times New Roman"/>
              </w:rPr>
              <w:t>ь</w:t>
            </w:r>
            <w:r w:rsidRPr="0008105F">
              <w:rPr>
                <w:rFonts w:cs="Times New Roman"/>
              </w:rPr>
              <w:t xml:space="preserve"> </w:t>
            </w:r>
            <w:r>
              <w:rPr>
                <w:rFonts w:cs="Times New Roman"/>
              </w:rPr>
              <w:t xml:space="preserve">медичних </w:t>
            </w:r>
            <w:r w:rsidRPr="0008105F">
              <w:rPr>
                <w:rFonts w:cs="Times New Roman"/>
              </w:rPr>
              <w:t xml:space="preserve">виробів </w:t>
            </w:r>
          </w:p>
        </w:tc>
        <w:tc>
          <w:tcPr>
            <w:tcW w:w="972" w:type="pct"/>
            <w:tcBorders>
              <w:top w:val="single" w:sz="4" w:space="0" w:color="auto"/>
              <w:left w:val="single" w:sz="4" w:space="0" w:color="auto"/>
              <w:bottom w:val="single" w:sz="4" w:space="0" w:color="auto"/>
              <w:right w:val="single" w:sz="4" w:space="0" w:color="auto"/>
            </w:tcBorders>
          </w:tcPr>
          <w:p w:rsidR="00A267A6" w:rsidRPr="0008105F" w:rsidRDefault="00A267A6" w:rsidP="00D757A2">
            <w:pPr>
              <w:autoSpaceDE w:val="0"/>
              <w:autoSpaceDN w:val="0"/>
              <w:adjustRightInd w:val="0"/>
              <w:rPr>
                <w:rFonts w:cs="Times New Roman"/>
              </w:rPr>
            </w:pPr>
            <w:r w:rsidRPr="0008105F">
              <w:rPr>
                <w:rFonts w:cs="Times New Roman"/>
              </w:rPr>
              <w:t>Надати копію</w:t>
            </w:r>
          </w:p>
        </w:tc>
      </w:tr>
      <w:tr w:rsidR="00A267A6" w:rsidRPr="0008105F" w:rsidTr="00D757A2">
        <w:tc>
          <w:tcPr>
            <w:tcW w:w="259" w:type="pct"/>
            <w:tcBorders>
              <w:top w:val="single" w:sz="4" w:space="0" w:color="auto"/>
              <w:left w:val="single" w:sz="4" w:space="0" w:color="auto"/>
              <w:bottom w:val="single" w:sz="4" w:space="0" w:color="auto"/>
              <w:right w:val="single" w:sz="4" w:space="0" w:color="auto"/>
            </w:tcBorders>
          </w:tcPr>
          <w:p w:rsidR="00A267A6" w:rsidRPr="0008105F" w:rsidRDefault="00A267A6" w:rsidP="00D757A2">
            <w:pPr>
              <w:autoSpaceDE w:val="0"/>
              <w:autoSpaceDN w:val="0"/>
              <w:adjustRightInd w:val="0"/>
              <w:jc w:val="center"/>
              <w:rPr>
                <w:rFonts w:cs="Times New Roman"/>
              </w:rPr>
            </w:pPr>
            <w:r w:rsidRPr="0008105F">
              <w:rPr>
                <w:rFonts w:cs="Times New Roman"/>
              </w:rPr>
              <w:t>2</w:t>
            </w:r>
            <w:r>
              <w:rPr>
                <w:rFonts w:cs="Times New Roman"/>
              </w:rPr>
              <w:t>.</w:t>
            </w:r>
          </w:p>
        </w:tc>
        <w:tc>
          <w:tcPr>
            <w:tcW w:w="3769" w:type="pct"/>
            <w:tcBorders>
              <w:top w:val="single" w:sz="4" w:space="0" w:color="auto"/>
              <w:left w:val="single" w:sz="4" w:space="0" w:color="auto"/>
              <w:bottom w:val="single" w:sz="4" w:space="0" w:color="auto"/>
              <w:right w:val="single" w:sz="4" w:space="0" w:color="auto"/>
            </w:tcBorders>
          </w:tcPr>
          <w:p w:rsidR="00A267A6" w:rsidRPr="0008105F" w:rsidRDefault="00A267A6" w:rsidP="00D757A2">
            <w:pPr>
              <w:autoSpaceDE w:val="0"/>
              <w:autoSpaceDN w:val="0"/>
              <w:adjustRightInd w:val="0"/>
              <w:rPr>
                <w:rFonts w:cs="Times New Roman"/>
              </w:rPr>
            </w:pPr>
            <w:r w:rsidRPr="0008105F">
              <w:rPr>
                <w:rFonts w:cs="Times New Roman"/>
              </w:rPr>
              <w:t>Сертифікат відповідності</w:t>
            </w:r>
          </w:p>
        </w:tc>
        <w:tc>
          <w:tcPr>
            <w:tcW w:w="972" w:type="pct"/>
            <w:tcBorders>
              <w:top w:val="single" w:sz="4" w:space="0" w:color="auto"/>
              <w:left w:val="single" w:sz="4" w:space="0" w:color="auto"/>
              <w:bottom w:val="single" w:sz="4" w:space="0" w:color="auto"/>
              <w:right w:val="single" w:sz="4" w:space="0" w:color="auto"/>
            </w:tcBorders>
          </w:tcPr>
          <w:p w:rsidR="00A267A6" w:rsidRPr="0008105F" w:rsidRDefault="00A267A6" w:rsidP="00D757A2">
            <w:pPr>
              <w:autoSpaceDE w:val="0"/>
              <w:autoSpaceDN w:val="0"/>
              <w:adjustRightInd w:val="0"/>
              <w:rPr>
                <w:rFonts w:cs="Times New Roman"/>
              </w:rPr>
            </w:pPr>
            <w:r w:rsidRPr="0008105F">
              <w:rPr>
                <w:rFonts w:cs="Times New Roman"/>
              </w:rPr>
              <w:t>Надати копію</w:t>
            </w:r>
          </w:p>
        </w:tc>
      </w:tr>
      <w:tr w:rsidR="00A267A6" w:rsidRPr="0008105F" w:rsidTr="00D757A2">
        <w:tc>
          <w:tcPr>
            <w:tcW w:w="259" w:type="pct"/>
            <w:tcBorders>
              <w:top w:val="single" w:sz="4" w:space="0" w:color="auto"/>
              <w:left w:val="single" w:sz="4" w:space="0" w:color="auto"/>
              <w:bottom w:val="single" w:sz="4" w:space="0" w:color="auto"/>
              <w:right w:val="single" w:sz="4" w:space="0" w:color="auto"/>
            </w:tcBorders>
          </w:tcPr>
          <w:p w:rsidR="00A267A6" w:rsidRPr="0008105F" w:rsidRDefault="00A267A6" w:rsidP="00D757A2">
            <w:pPr>
              <w:autoSpaceDE w:val="0"/>
              <w:autoSpaceDN w:val="0"/>
              <w:adjustRightInd w:val="0"/>
              <w:jc w:val="center"/>
              <w:rPr>
                <w:rFonts w:cs="Times New Roman"/>
              </w:rPr>
            </w:pPr>
            <w:r>
              <w:rPr>
                <w:rFonts w:cs="Times New Roman"/>
              </w:rPr>
              <w:t>3.</w:t>
            </w:r>
          </w:p>
        </w:tc>
        <w:tc>
          <w:tcPr>
            <w:tcW w:w="3769" w:type="pct"/>
            <w:tcBorders>
              <w:top w:val="single" w:sz="4" w:space="0" w:color="auto"/>
              <w:left w:val="single" w:sz="4" w:space="0" w:color="auto"/>
              <w:bottom w:val="single" w:sz="4" w:space="0" w:color="auto"/>
              <w:right w:val="single" w:sz="4" w:space="0" w:color="auto"/>
            </w:tcBorders>
          </w:tcPr>
          <w:p w:rsidR="00A267A6" w:rsidRPr="0008105F" w:rsidRDefault="00A267A6" w:rsidP="00D757A2">
            <w:pPr>
              <w:autoSpaceDE w:val="0"/>
              <w:autoSpaceDN w:val="0"/>
              <w:adjustRightInd w:val="0"/>
              <w:rPr>
                <w:rFonts w:cs="Times New Roman"/>
              </w:rPr>
            </w:pPr>
            <w:r>
              <w:rPr>
                <w:rFonts w:cs="Times New Roman"/>
              </w:rPr>
              <w:t>Додаток до Сертифікату відповідності</w:t>
            </w:r>
          </w:p>
        </w:tc>
        <w:tc>
          <w:tcPr>
            <w:tcW w:w="972" w:type="pct"/>
            <w:tcBorders>
              <w:top w:val="single" w:sz="4" w:space="0" w:color="auto"/>
              <w:left w:val="single" w:sz="4" w:space="0" w:color="auto"/>
              <w:bottom w:val="single" w:sz="4" w:space="0" w:color="auto"/>
              <w:right w:val="single" w:sz="4" w:space="0" w:color="auto"/>
            </w:tcBorders>
          </w:tcPr>
          <w:p w:rsidR="00A267A6" w:rsidRPr="0008105F" w:rsidRDefault="00A267A6" w:rsidP="00D757A2">
            <w:pPr>
              <w:autoSpaceDE w:val="0"/>
              <w:autoSpaceDN w:val="0"/>
              <w:adjustRightInd w:val="0"/>
              <w:rPr>
                <w:rFonts w:cs="Times New Roman"/>
              </w:rPr>
            </w:pPr>
            <w:r w:rsidRPr="0008105F">
              <w:rPr>
                <w:rFonts w:cs="Times New Roman"/>
              </w:rPr>
              <w:t>Надати копію</w:t>
            </w:r>
          </w:p>
        </w:tc>
      </w:tr>
      <w:tr w:rsidR="00A267A6" w:rsidRPr="0008105F" w:rsidTr="00D757A2">
        <w:tc>
          <w:tcPr>
            <w:tcW w:w="259" w:type="pct"/>
            <w:tcBorders>
              <w:top w:val="single" w:sz="4" w:space="0" w:color="auto"/>
              <w:left w:val="single" w:sz="4" w:space="0" w:color="auto"/>
              <w:bottom w:val="single" w:sz="4" w:space="0" w:color="auto"/>
              <w:right w:val="single" w:sz="4" w:space="0" w:color="auto"/>
            </w:tcBorders>
          </w:tcPr>
          <w:p w:rsidR="00A267A6" w:rsidRPr="0008105F" w:rsidRDefault="00A267A6" w:rsidP="00D757A2">
            <w:pPr>
              <w:autoSpaceDE w:val="0"/>
              <w:autoSpaceDN w:val="0"/>
              <w:adjustRightInd w:val="0"/>
              <w:jc w:val="center"/>
              <w:rPr>
                <w:rFonts w:cs="Times New Roman"/>
              </w:rPr>
            </w:pPr>
            <w:r>
              <w:rPr>
                <w:rFonts w:cs="Times New Roman"/>
              </w:rPr>
              <w:t>4.</w:t>
            </w:r>
          </w:p>
        </w:tc>
        <w:tc>
          <w:tcPr>
            <w:tcW w:w="3769" w:type="pct"/>
            <w:tcBorders>
              <w:top w:val="single" w:sz="4" w:space="0" w:color="auto"/>
              <w:left w:val="single" w:sz="4" w:space="0" w:color="auto"/>
              <w:bottom w:val="single" w:sz="4" w:space="0" w:color="auto"/>
              <w:right w:val="single" w:sz="4" w:space="0" w:color="auto"/>
            </w:tcBorders>
          </w:tcPr>
          <w:p w:rsidR="00A267A6" w:rsidRPr="0008105F" w:rsidRDefault="00A267A6" w:rsidP="00D757A2">
            <w:pPr>
              <w:autoSpaceDE w:val="0"/>
              <w:autoSpaceDN w:val="0"/>
              <w:adjustRightInd w:val="0"/>
              <w:rPr>
                <w:rFonts w:cs="Times New Roman"/>
              </w:rPr>
            </w:pPr>
            <w:r w:rsidRPr="0008105F">
              <w:rPr>
                <w:rFonts w:cs="Times New Roman"/>
                <w:bCs/>
                <w:spacing w:val="-7"/>
              </w:rPr>
              <w:t>Гарантійний термін експлуатації</w:t>
            </w:r>
          </w:p>
        </w:tc>
        <w:tc>
          <w:tcPr>
            <w:tcW w:w="972" w:type="pct"/>
            <w:tcBorders>
              <w:top w:val="single" w:sz="4" w:space="0" w:color="auto"/>
              <w:left w:val="single" w:sz="4" w:space="0" w:color="auto"/>
              <w:bottom w:val="single" w:sz="4" w:space="0" w:color="auto"/>
              <w:right w:val="single" w:sz="4" w:space="0" w:color="auto"/>
            </w:tcBorders>
          </w:tcPr>
          <w:p w:rsidR="00A267A6" w:rsidRPr="0008105F" w:rsidRDefault="00A267A6" w:rsidP="00D757A2">
            <w:pPr>
              <w:autoSpaceDE w:val="0"/>
              <w:autoSpaceDN w:val="0"/>
              <w:adjustRightInd w:val="0"/>
              <w:rPr>
                <w:rFonts w:cs="Times New Roman"/>
              </w:rPr>
            </w:pPr>
            <w:r w:rsidRPr="0008105F">
              <w:rPr>
                <w:rFonts w:cs="Times New Roman"/>
                <w:bCs/>
              </w:rPr>
              <w:t xml:space="preserve">Не менше </w:t>
            </w:r>
            <w:r w:rsidRPr="0008105F">
              <w:rPr>
                <w:rFonts w:cs="Times New Roman"/>
                <w:bCs/>
                <w:lang w:val="en-US"/>
              </w:rPr>
              <w:t>12</w:t>
            </w:r>
            <w:r w:rsidRPr="0008105F">
              <w:rPr>
                <w:rFonts w:cs="Times New Roman"/>
                <w:bCs/>
              </w:rPr>
              <w:t xml:space="preserve"> місяців</w:t>
            </w:r>
          </w:p>
        </w:tc>
      </w:tr>
      <w:tr w:rsidR="00A267A6" w:rsidRPr="0008105F" w:rsidTr="00D757A2">
        <w:tc>
          <w:tcPr>
            <w:tcW w:w="259" w:type="pct"/>
            <w:tcBorders>
              <w:top w:val="single" w:sz="4" w:space="0" w:color="auto"/>
              <w:left w:val="single" w:sz="4" w:space="0" w:color="auto"/>
              <w:bottom w:val="single" w:sz="4" w:space="0" w:color="auto"/>
              <w:right w:val="single" w:sz="4" w:space="0" w:color="auto"/>
            </w:tcBorders>
          </w:tcPr>
          <w:p w:rsidR="00A267A6" w:rsidRPr="0008105F" w:rsidRDefault="00A267A6" w:rsidP="00D757A2">
            <w:pPr>
              <w:autoSpaceDE w:val="0"/>
              <w:autoSpaceDN w:val="0"/>
              <w:adjustRightInd w:val="0"/>
              <w:jc w:val="center"/>
              <w:rPr>
                <w:rFonts w:cs="Times New Roman"/>
              </w:rPr>
            </w:pPr>
            <w:r>
              <w:rPr>
                <w:rFonts w:cs="Times New Roman"/>
              </w:rPr>
              <w:t>5.</w:t>
            </w:r>
          </w:p>
        </w:tc>
        <w:tc>
          <w:tcPr>
            <w:tcW w:w="3769" w:type="pct"/>
            <w:tcBorders>
              <w:top w:val="single" w:sz="4" w:space="0" w:color="auto"/>
              <w:left w:val="single" w:sz="4" w:space="0" w:color="auto"/>
              <w:bottom w:val="single" w:sz="4" w:space="0" w:color="auto"/>
              <w:right w:val="single" w:sz="4" w:space="0" w:color="auto"/>
            </w:tcBorders>
          </w:tcPr>
          <w:p w:rsidR="00A267A6" w:rsidRPr="0008105F" w:rsidRDefault="00A267A6" w:rsidP="00D757A2">
            <w:pPr>
              <w:autoSpaceDE w:val="0"/>
              <w:autoSpaceDN w:val="0"/>
              <w:adjustRightInd w:val="0"/>
              <w:jc w:val="both"/>
              <w:rPr>
                <w:rFonts w:cs="Times New Roman"/>
              </w:rPr>
            </w:pPr>
            <w:r w:rsidRPr="0008105F">
              <w:rPr>
                <w:rFonts w:cs="Times New Roman"/>
              </w:rPr>
              <w:t>Проведення монтажних, сервісних робіт фахівцями поста</w:t>
            </w:r>
            <w:r>
              <w:rPr>
                <w:rFonts w:cs="Times New Roman"/>
              </w:rPr>
              <w:t>-</w:t>
            </w:r>
            <w:r w:rsidRPr="0008105F">
              <w:rPr>
                <w:rFonts w:cs="Times New Roman"/>
              </w:rPr>
              <w:t xml:space="preserve">чальника, уповноважених виробником або офіційним представником виробника (надати оригінал </w:t>
            </w:r>
            <w:r>
              <w:rPr>
                <w:rFonts w:cs="Times New Roman"/>
              </w:rPr>
              <w:t xml:space="preserve"> </w:t>
            </w:r>
            <w:r w:rsidRPr="0008105F">
              <w:rPr>
                <w:rFonts w:cs="Times New Roman"/>
              </w:rPr>
              <w:t>листа виробника або його офіційного представника)</w:t>
            </w:r>
          </w:p>
        </w:tc>
        <w:tc>
          <w:tcPr>
            <w:tcW w:w="972" w:type="pct"/>
            <w:tcBorders>
              <w:top w:val="single" w:sz="4" w:space="0" w:color="auto"/>
              <w:left w:val="single" w:sz="4" w:space="0" w:color="auto"/>
              <w:bottom w:val="single" w:sz="4" w:space="0" w:color="auto"/>
              <w:right w:val="single" w:sz="4" w:space="0" w:color="auto"/>
            </w:tcBorders>
          </w:tcPr>
          <w:p w:rsidR="00A267A6" w:rsidRPr="0008105F" w:rsidRDefault="00A267A6" w:rsidP="00D757A2">
            <w:pPr>
              <w:autoSpaceDE w:val="0"/>
              <w:autoSpaceDN w:val="0"/>
              <w:adjustRightInd w:val="0"/>
              <w:rPr>
                <w:rFonts w:cs="Times New Roman"/>
              </w:rPr>
            </w:pPr>
            <w:r w:rsidRPr="0008105F">
              <w:rPr>
                <w:rFonts w:cs="Times New Roman"/>
              </w:rPr>
              <w:t xml:space="preserve">Надати </w:t>
            </w:r>
          </w:p>
        </w:tc>
      </w:tr>
      <w:tr w:rsidR="00A267A6" w:rsidRPr="0008105F" w:rsidTr="00D757A2">
        <w:tc>
          <w:tcPr>
            <w:tcW w:w="259" w:type="pct"/>
            <w:tcBorders>
              <w:top w:val="single" w:sz="4" w:space="0" w:color="auto"/>
              <w:left w:val="single" w:sz="4" w:space="0" w:color="auto"/>
              <w:bottom w:val="single" w:sz="4" w:space="0" w:color="auto"/>
              <w:right w:val="single" w:sz="4" w:space="0" w:color="auto"/>
            </w:tcBorders>
          </w:tcPr>
          <w:p w:rsidR="00A267A6" w:rsidRPr="0008105F" w:rsidRDefault="00A267A6" w:rsidP="00D757A2">
            <w:pPr>
              <w:autoSpaceDE w:val="0"/>
              <w:autoSpaceDN w:val="0"/>
              <w:adjustRightInd w:val="0"/>
              <w:jc w:val="center"/>
              <w:rPr>
                <w:rFonts w:cs="Times New Roman"/>
              </w:rPr>
            </w:pPr>
            <w:r>
              <w:rPr>
                <w:rFonts w:cs="Times New Roman"/>
              </w:rPr>
              <w:t>6.</w:t>
            </w:r>
          </w:p>
        </w:tc>
        <w:tc>
          <w:tcPr>
            <w:tcW w:w="3769" w:type="pct"/>
            <w:tcBorders>
              <w:top w:val="single" w:sz="4" w:space="0" w:color="auto"/>
              <w:left w:val="single" w:sz="4" w:space="0" w:color="auto"/>
              <w:bottom w:val="single" w:sz="4" w:space="0" w:color="auto"/>
              <w:right w:val="single" w:sz="4" w:space="0" w:color="auto"/>
            </w:tcBorders>
            <w:vAlign w:val="center"/>
          </w:tcPr>
          <w:p w:rsidR="00A267A6" w:rsidRDefault="00A267A6" w:rsidP="00D757A2">
            <w:pPr>
              <w:autoSpaceDE w:val="0"/>
              <w:autoSpaceDN w:val="0"/>
              <w:adjustRightInd w:val="0"/>
              <w:jc w:val="both"/>
              <w:rPr>
                <w:rFonts w:cs="Times New Roman"/>
              </w:rPr>
            </w:pPr>
            <w:r w:rsidRPr="0008105F">
              <w:rPr>
                <w:rFonts w:cs="Times New Roman"/>
              </w:rPr>
              <w:t>Оригінал або копія гарантійного листа виробника (пред</w:t>
            </w:r>
            <w:r>
              <w:rPr>
                <w:rFonts w:cs="Times New Roman"/>
              </w:rPr>
              <w:t>став</w:t>
            </w:r>
            <w:r w:rsidRPr="0008105F">
              <w:rPr>
                <w:rFonts w:cs="Times New Roman"/>
              </w:rPr>
              <w:t>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у кількості та в терміни, визначені тендерною документацією та пропозицією Учас</w:t>
            </w:r>
            <w:r>
              <w:rPr>
                <w:rFonts w:cs="Times New Roman"/>
              </w:rPr>
              <w:t>ни</w:t>
            </w:r>
            <w:r w:rsidRPr="0008105F">
              <w:rPr>
                <w:rFonts w:cs="Times New Roman"/>
              </w:rPr>
              <w:t>ка торгів.</w:t>
            </w:r>
          </w:p>
          <w:p w:rsidR="00A267A6" w:rsidRPr="0008105F" w:rsidRDefault="00A267A6" w:rsidP="00D757A2">
            <w:pPr>
              <w:autoSpaceDE w:val="0"/>
              <w:autoSpaceDN w:val="0"/>
              <w:adjustRightInd w:val="0"/>
              <w:jc w:val="both"/>
              <w:rPr>
                <w:rFonts w:cs="Times New Roman"/>
              </w:rPr>
            </w:pPr>
            <w:r w:rsidRPr="0008105F">
              <w:rPr>
                <w:rFonts w:cs="Times New Roman"/>
              </w:rPr>
              <w:t>Гарантійний лист повинен включати назву пред</w:t>
            </w:r>
            <w:r>
              <w:rPr>
                <w:rFonts w:cs="Times New Roman"/>
              </w:rPr>
              <w:t>ме</w:t>
            </w:r>
            <w:r w:rsidRPr="0008105F">
              <w:rPr>
                <w:rFonts w:cs="Times New Roman"/>
              </w:rPr>
              <w:t>та закупівлі, найменування замовника та номер оголошення про проведення процедури закупівлі.</w:t>
            </w:r>
          </w:p>
        </w:tc>
        <w:tc>
          <w:tcPr>
            <w:tcW w:w="972" w:type="pct"/>
            <w:tcBorders>
              <w:top w:val="single" w:sz="4" w:space="0" w:color="auto"/>
              <w:left w:val="single" w:sz="4" w:space="0" w:color="auto"/>
              <w:bottom w:val="single" w:sz="4" w:space="0" w:color="auto"/>
              <w:right w:val="single" w:sz="4" w:space="0" w:color="auto"/>
            </w:tcBorders>
          </w:tcPr>
          <w:p w:rsidR="00A267A6" w:rsidRPr="0008105F" w:rsidRDefault="00A267A6" w:rsidP="00D757A2">
            <w:pPr>
              <w:autoSpaceDE w:val="0"/>
              <w:autoSpaceDN w:val="0"/>
              <w:adjustRightInd w:val="0"/>
              <w:rPr>
                <w:rFonts w:cs="Times New Roman"/>
              </w:rPr>
            </w:pPr>
            <w:r w:rsidRPr="0008105F">
              <w:rPr>
                <w:rFonts w:cs="Times New Roman"/>
              </w:rPr>
              <w:t>Надати</w:t>
            </w:r>
          </w:p>
        </w:tc>
      </w:tr>
    </w:tbl>
    <w:p w:rsidR="00A267A6" w:rsidRPr="003401F5" w:rsidRDefault="00A267A6" w:rsidP="00A267A6">
      <w:pPr>
        <w:spacing w:before="100" w:beforeAutospacing="1" w:line="240" w:lineRule="auto"/>
        <w:rPr>
          <w:rFonts w:cs="Times New Roman"/>
        </w:rPr>
      </w:pPr>
    </w:p>
    <w:p w:rsidR="00A267A6" w:rsidRDefault="00A267A6" w:rsidP="00A267A6">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A267A6" w:rsidRDefault="00A267A6" w:rsidP="00A267A6">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25242F" w:rsidRDefault="00A267A6">
      <w:bookmarkStart w:id="2" w:name="_GoBack"/>
      <w:bookmarkEnd w:id="2"/>
    </w:p>
    <w:sectPr w:rsidR="0025242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76512"/>
    <w:multiLevelType w:val="hybridMultilevel"/>
    <w:tmpl w:val="2AF66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7A6"/>
    <w:rsid w:val="00881E5D"/>
    <w:rsid w:val="00A20CE1"/>
    <w:rsid w:val="00A267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267A6"/>
    <w:pPr>
      <w:suppressAutoHyphens/>
      <w:spacing w:after="0"/>
    </w:pPr>
    <w:rPr>
      <w:rFonts w:ascii="Times New Roman" w:eastAsia="Times New Roman" w:hAnsi="Times New Roman" w:cs="Mangal"/>
      <w:color w:val="000000"/>
      <w:kern w:val="1"/>
      <w:sz w:val="24"/>
      <w:szCs w:val="24"/>
      <w:lang w:val="ru-RU" w:eastAsia="hi-IN" w:bidi="hi-IN"/>
    </w:rPr>
  </w:style>
  <w:style w:type="paragraph" w:styleId="1">
    <w:name w:val="heading 1"/>
    <w:aliases w:val="Document Header1"/>
    <w:basedOn w:val="a"/>
    <w:next w:val="a"/>
    <w:link w:val="11"/>
    <w:uiPriority w:val="99"/>
    <w:qFormat/>
    <w:rsid w:val="00A267A6"/>
    <w:pPr>
      <w:keepNext/>
      <w:suppressAutoHyphens w:val="0"/>
      <w:spacing w:before="240" w:after="60" w:line="240" w:lineRule="auto"/>
      <w:outlineLvl w:val="0"/>
    </w:pPr>
    <w:rPr>
      <w:rFonts w:ascii="Cambria" w:hAnsi="Cambria" w:cs="Times New Roman"/>
      <w:b/>
      <w:color w:val="auto"/>
      <w:kern w:val="32"/>
      <w:sz w:val="32"/>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A267A6"/>
    <w:rPr>
      <w:rFonts w:asciiTheme="majorHAnsi" w:eastAsiaTheme="majorEastAsia" w:hAnsiTheme="majorHAnsi" w:cs="Mangal"/>
      <w:b/>
      <w:bCs/>
      <w:color w:val="365F91" w:themeColor="accent1" w:themeShade="BF"/>
      <w:kern w:val="1"/>
      <w:sz w:val="28"/>
      <w:szCs w:val="25"/>
      <w:lang w:val="ru-RU" w:eastAsia="hi-IN" w:bidi="hi-IN"/>
    </w:rPr>
  </w:style>
  <w:style w:type="paragraph" w:customStyle="1" w:styleId="FR2">
    <w:name w:val="FR2"/>
    <w:rsid w:val="00A267A6"/>
    <w:pPr>
      <w:widowControl w:val="0"/>
      <w:snapToGrid w:val="0"/>
      <w:spacing w:before="600" w:after="0" w:line="300" w:lineRule="auto"/>
      <w:ind w:firstLine="700"/>
      <w:jc w:val="both"/>
    </w:pPr>
    <w:rPr>
      <w:rFonts w:ascii="Times New Roman" w:eastAsia="Times New Roman" w:hAnsi="Times New Roman" w:cs="Times New Roman"/>
      <w:szCs w:val="20"/>
      <w:lang w:val="ru-RU" w:eastAsia="ru-RU"/>
    </w:rPr>
  </w:style>
  <w:style w:type="character" w:customStyle="1" w:styleId="11">
    <w:name w:val="Заголовок 1 Знак1"/>
    <w:aliases w:val="Document Header1 Знак1"/>
    <w:link w:val="1"/>
    <w:uiPriority w:val="99"/>
    <w:locked/>
    <w:rsid w:val="00A267A6"/>
    <w:rPr>
      <w:rFonts w:ascii="Cambria" w:eastAsia="Times New Roman" w:hAnsi="Cambria" w:cs="Times New Roman"/>
      <w:b/>
      <w:kern w:val="32"/>
      <w:sz w:val="32"/>
      <w:szCs w:val="20"/>
      <w:lang w:val="ru-RU" w:eastAsia="ru-RU"/>
    </w:rPr>
  </w:style>
  <w:style w:type="paragraph" w:customStyle="1" w:styleId="3">
    <w:name w:val="Обычный3"/>
    <w:rsid w:val="00A267A6"/>
    <w:pPr>
      <w:spacing w:after="0"/>
    </w:pPr>
    <w:rPr>
      <w:rFonts w:ascii="Arial" w:eastAsia="Arial" w:hAnsi="Arial" w:cs="Arial"/>
      <w:color w:val="00000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267A6"/>
    <w:pPr>
      <w:suppressAutoHyphens/>
      <w:spacing w:after="0"/>
    </w:pPr>
    <w:rPr>
      <w:rFonts w:ascii="Times New Roman" w:eastAsia="Times New Roman" w:hAnsi="Times New Roman" w:cs="Mangal"/>
      <w:color w:val="000000"/>
      <w:kern w:val="1"/>
      <w:sz w:val="24"/>
      <w:szCs w:val="24"/>
      <w:lang w:val="ru-RU" w:eastAsia="hi-IN" w:bidi="hi-IN"/>
    </w:rPr>
  </w:style>
  <w:style w:type="paragraph" w:styleId="1">
    <w:name w:val="heading 1"/>
    <w:aliases w:val="Document Header1"/>
    <w:basedOn w:val="a"/>
    <w:next w:val="a"/>
    <w:link w:val="11"/>
    <w:uiPriority w:val="99"/>
    <w:qFormat/>
    <w:rsid w:val="00A267A6"/>
    <w:pPr>
      <w:keepNext/>
      <w:suppressAutoHyphens w:val="0"/>
      <w:spacing w:before="240" w:after="60" w:line="240" w:lineRule="auto"/>
      <w:outlineLvl w:val="0"/>
    </w:pPr>
    <w:rPr>
      <w:rFonts w:ascii="Cambria" w:hAnsi="Cambria" w:cs="Times New Roman"/>
      <w:b/>
      <w:color w:val="auto"/>
      <w:kern w:val="32"/>
      <w:sz w:val="32"/>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A267A6"/>
    <w:rPr>
      <w:rFonts w:asciiTheme="majorHAnsi" w:eastAsiaTheme="majorEastAsia" w:hAnsiTheme="majorHAnsi" w:cs="Mangal"/>
      <w:b/>
      <w:bCs/>
      <w:color w:val="365F91" w:themeColor="accent1" w:themeShade="BF"/>
      <w:kern w:val="1"/>
      <w:sz w:val="28"/>
      <w:szCs w:val="25"/>
      <w:lang w:val="ru-RU" w:eastAsia="hi-IN" w:bidi="hi-IN"/>
    </w:rPr>
  </w:style>
  <w:style w:type="paragraph" w:customStyle="1" w:styleId="FR2">
    <w:name w:val="FR2"/>
    <w:rsid w:val="00A267A6"/>
    <w:pPr>
      <w:widowControl w:val="0"/>
      <w:snapToGrid w:val="0"/>
      <w:spacing w:before="600" w:after="0" w:line="300" w:lineRule="auto"/>
      <w:ind w:firstLine="700"/>
      <w:jc w:val="both"/>
    </w:pPr>
    <w:rPr>
      <w:rFonts w:ascii="Times New Roman" w:eastAsia="Times New Roman" w:hAnsi="Times New Roman" w:cs="Times New Roman"/>
      <w:szCs w:val="20"/>
      <w:lang w:val="ru-RU" w:eastAsia="ru-RU"/>
    </w:rPr>
  </w:style>
  <w:style w:type="character" w:customStyle="1" w:styleId="11">
    <w:name w:val="Заголовок 1 Знак1"/>
    <w:aliases w:val="Document Header1 Знак1"/>
    <w:link w:val="1"/>
    <w:uiPriority w:val="99"/>
    <w:locked/>
    <w:rsid w:val="00A267A6"/>
    <w:rPr>
      <w:rFonts w:ascii="Cambria" w:eastAsia="Times New Roman" w:hAnsi="Cambria" w:cs="Times New Roman"/>
      <w:b/>
      <w:kern w:val="32"/>
      <w:sz w:val="32"/>
      <w:szCs w:val="20"/>
      <w:lang w:val="ru-RU" w:eastAsia="ru-RU"/>
    </w:rPr>
  </w:style>
  <w:style w:type="paragraph" w:customStyle="1" w:styleId="3">
    <w:name w:val="Обычный3"/>
    <w:rsid w:val="00A267A6"/>
    <w:pPr>
      <w:spacing w:after="0"/>
    </w:pPr>
    <w:rPr>
      <w:rFonts w:ascii="Arial" w:eastAsia="Arial" w:hAnsi="Arial" w:cs="Arial"/>
      <w:color w:val="00000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2349</Words>
  <Characters>1340</Characters>
  <Application>Microsoft Office Word</Application>
  <DocSecurity>0</DocSecurity>
  <Lines>11</Lines>
  <Paragraphs>7</Paragraphs>
  <ScaleCrop>false</ScaleCrop>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2023-04-07T13:27:00Z</dcterms:created>
  <dcterms:modified xsi:type="dcterms:W3CDTF">2023-04-07T13:27:00Z</dcterms:modified>
</cp:coreProperties>
</file>