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3FD" w:rsidRDefault="00FB33FD" w:rsidP="005B5739">
      <w:pPr>
        <w:pStyle w:val="LO-normal"/>
        <w:rPr>
          <w:rFonts w:ascii="Times New Roman" w:hAnsi="Times New Roman" w:cs="Times New Roman"/>
          <w:bCs/>
          <w:sz w:val="24"/>
          <w:szCs w:val="24"/>
          <w:lang w:val="ru-RU"/>
        </w:rPr>
      </w:pPr>
    </w:p>
    <w:p w:rsidR="00103A2E" w:rsidRPr="00C463DB" w:rsidRDefault="00103A2E" w:rsidP="00103A2E">
      <w:pPr>
        <w:pStyle w:val="a4"/>
        <w:tabs>
          <w:tab w:val="num" w:pos="-180"/>
          <w:tab w:val="left" w:pos="540"/>
        </w:tabs>
        <w:spacing w:before="0" w:beforeAutospacing="0" w:after="0" w:afterAutospacing="0" w:line="276" w:lineRule="auto"/>
        <w:ind w:left="-180"/>
        <w:jc w:val="right"/>
        <w:rPr>
          <w:b/>
          <w:sz w:val="22"/>
          <w:szCs w:val="22"/>
        </w:rPr>
      </w:pPr>
      <w:r w:rsidRPr="00C463DB">
        <w:rPr>
          <w:b/>
          <w:sz w:val="22"/>
          <w:szCs w:val="22"/>
        </w:rPr>
        <w:t>Додаток №3 до тендерної документації</w:t>
      </w:r>
    </w:p>
    <w:p w:rsidR="00103A2E" w:rsidRPr="00C463DB" w:rsidRDefault="00103A2E" w:rsidP="00103A2E">
      <w:pPr>
        <w:pStyle w:val="a4"/>
        <w:tabs>
          <w:tab w:val="num" w:pos="-180"/>
          <w:tab w:val="left" w:pos="540"/>
        </w:tabs>
        <w:spacing w:before="0" w:beforeAutospacing="0" w:after="0" w:afterAutospacing="0" w:line="276" w:lineRule="auto"/>
        <w:ind w:left="-180"/>
        <w:jc w:val="right"/>
        <w:rPr>
          <w:b/>
          <w:sz w:val="22"/>
          <w:szCs w:val="22"/>
        </w:rPr>
      </w:pPr>
    </w:p>
    <w:p w:rsidR="00103A2E" w:rsidRPr="00E51FF6" w:rsidRDefault="00103A2E" w:rsidP="00103A2E">
      <w:pPr>
        <w:jc w:val="center"/>
        <w:rPr>
          <w:b/>
          <w:sz w:val="28"/>
          <w:szCs w:val="28"/>
        </w:rPr>
      </w:pPr>
      <w:r w:rsidRPr="00E51FF6">
        <w:rPr>
          <w:b/>
          <w:sz w:val="28"/>
          <w:szCs w:val="28"/>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103A2E" w:rsidRPr="00103A2E" w:rsidRDefault="00103A2E" w:rsidP="00103A2E">
      <w:pPr>
        <w:pStyle w:val="LO-normal"/>
        <w:rPr>
          <w:rFonts w:ascii="Times New Roman" w:hAnsi="Times New Roman" w:cs="Times New Roman"/>
          <w:bCs/>
          <w:sz w:val="24"/>
          <w:szCs w:val="24"/>
        </w:rPr>
      </w:pPr>
    </w:p>
    <w:p w:rsidR="00FB33FD" w:rsidRPr="00E51FF6" w:rsidRDefault="00E51FF6" w:rsidP="00671F7B">
      <w:pPr>
        <w:pStyle w:val="LO-normal"/>
        <w:ind w:firstLine="567"/>
        <w:jc w:val="center"/>
        <w:rPr>
          <w:rFonts w:ascii="Times New Roman" w:hAnsi="Times New Roman" w:cs="Times New Roman"/>
          <w:b/>
          <w:bCs/>
          <w:sz w:val="24"/>
          <w:szCs w:val="24"/>
        </w:rPr>
      </w:pPr>
      <w:r w:rsidRPr="00E51FF6">
        <w:rPr>
          <w:rFonts w:ascii="Times New Roman" w:hAnsi="Times New Roman" w:cs="Times New Roman"/>
          <w:b/>
          <w:bCs/>
          <w:sz w:val="24"/>
          <w:szCs w:val="24"/>
        </w:rPr>
        <w:t>Підготовка об'єктів до опалювального сезону – модернізація обчислювачів об'єму газу у кількості 7 штук з урахуванням державної повірки</w:t>
      </w:r>
    </w:p>
    <w:tbl>
      <w:tblPr>
        <w:tblpPr w:leftFromText="180" w:rightFromText="180" w:vertAnchor="page" w:horzAnchor="margin" w:tblpY="3249"/>
        <w:tblW w:w="97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534"/>
        <w:gridCol w:w="4819"/>
        <w:gridCol w:w="1843"/>
        <w:gridCol w:w="2552"/>
      </w:tblGrid>
      <w:tr w:rsidR="00433011" w:rsidTr="00E51FF6">
        <w:trPr>
          <w:trHeight w:val="697"/>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33011" w:rsidRPr="009E5365" w:rsidRDefault="00433011" w:rsidP="00103A2E">
            <w:pPr>
              <w:rPr>
                <w:rFonts w:eastAsia="Calibri"/>
                <w:i/>
                <w:lang w:val="en-US"/>
              </w:rPr>
            </w:pPr>
            <w:r w:rsidRPr="009E5365">
              <w:rPr>
                <w:rFonts w:eastAsia="Calibri"/>
                <w:i/>
              </w:rPr>
              <w:t>№</w:t>
            </w:r>
          </w:p>
          <w:p w:rsidR="00433011" w:rsidRPr="009E5365" w:rsidRDefault="00433011" w:rsidP="00103A2E">
            <w:pPr>
              <w:rPr>
                <w:i/>
              </w:rPr>
            </w:pPr>
            <w:r w:rsidRPr="009E5365">
              <w:rPr>
                <w:i/>
              </w:rPr>
              <w:t>з/п</w:t>
            </w:r>
          </w:p>
        </w:tc>
        <w:tc>
          <w:tcPr>
            <w:tcW w:w="4819"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433011" w:rsidRPr="009E5365" w:rsidRDefault="00433011" w:rsidP="009E5365">
            <w:pPr>
              <w:jc w:val="center"/>
              <w:rPr>
                <w:i/>
              </w:rPr>
            </w:pPr>
            <w:r w:rsidRPr="009E5365">
              <w:rPr>
                <w:i/>
              </w:rPr>
              <w:t>Перелік послуг</w:t>
            </w:r>
          </w:p>
        </w:tc>
        <w:tc>
          <w:tcPr>
            <w:tcW w:w="1843"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433011" w:rsidRPr="009E5365" w:rsidRDefault="00433011" w:rsidP="00103A2E">
            <w:pPr>
              <w:jc w:val="center"/>
              <w:rPr>
                <w:i/>
              </w:rPr>
            </w:pPr>
            <w:r w:rsidRPr="009E5365">
              <w:rPr>
                <w:i/>
              </w:rPr>
              <w:t>Кількість</w:t>
            </w:r>
          </w:p>
          <w:p w:rsidR="00433011" w:rsidRPr="009E5365" w:rsidRDefault="00433011" w:rsidP="00F14531">
            <w:pPr>
              <w:jc w:val="center"/>
              <w:rPr>
                <w:i/>
              </w:rPr>
            </w:pPr>
            <w:r w:rsidRPr="009E5365">
              <w:rPr>
                <w:i/>
              </w:rPr>
              <w:t>послуг</w:t>
            </w:r>
          </w:p>
        </w:tc>
        <w:tc>
          <w:tcPr>
            <w:tcW w:w="2552" w:type="dxa"/>
            <w:tcBorders>
              <w:top w:val="single" w:sz="4" w:space="0" w:color="00000A"/>
              <w:left w:val="single" w:sz="4" w:space="0" w:color="00000A"/>
              <w:bottom w:val="single" w:sz="4" w:space="0" w:color="auto"/>
              <w:right w:val="single" w:sz="4" w:space="0" w:color="00000A"/>
            </w:tcBorders>
          </w:tcPr>
          <w:p w:rsidR="00433011" w:rsidRDefault="00433011" w:rsidP="00103A2E">
            <w:pPr>
              <w:jc w:val="center"/>
              <w:rPr>
                <w:i/>
              </w:rPr>
            </w:pPr>
            <w:r w:rsidRPr="009E5365">
              <w:rPr>
                <w:i/>
              </w:rPr>
              <w:t>Заводський номер</w:t>
            </w:r>
          </w:p>
          <w:p w:rsidR="009E5365" w:rsidRPr="009E5365" w:rsidRDefault="009E5365" w:rsidP="009E5365">
            <w:pPr>
              <w:rPr>
                <w:i/>
              </w:rPr>
            </w:pPr>
          </w:p>
        </w:tc>
      </w:tr>
      <w:tr w:rsidR="00433011" w:rsidTr="008A0EE7">
        <w:trPr>
          <w:trHeight w:val="988"/>
        </w:trPr>
        <w:tc>
          <w:tcPr>
            <w:tcW w:w="534"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433011" w:rsidRPr="000D4E92" w:rsidRDefault="00433011" w:rsidP="008A0EE7">
            <w:r>
              <w:t>1</w:t>
            </w:r>
          </w:p>
        </w:tc>
        <w:tc>
          <w:tcPr>
            <w:tcW w:w="4819"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433011" w:rsidRDefault="00433011" w:rsidP="00103A2E">
            <w:r>
              <w:t>Модернізація та повірка обчислювача</w:t>
            </w:r>
          </w:p>
          <w:p w:rsidR="00433011" w:rsidRPr="00D04766" w:rsidRDefault="00433011" w:rsidP="00103A2E">
            <w:r>
              <w:t xml:space="preserve"> об’єму газу </w:t>
            </w:r>
            <w:r w:rsidRPr="00510295">
              <w:t>Універсал-02</w:t>
            </w:r>
          </w:p>
        </w:tc>
        <w:tc>
          <w:tcPr>
            <w:tcW w:w="1843"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433011" w:rsidRDefault="006C04D2" w:rsidP="006C04D2">
            <w:r>
              <w:t>7</w:t>
            </w:r>
            <w:r w:rsidR="00433011">
              <w:t xml:space="preserve"> послуг</w:t>
            </w:r>
          </w:p>
        </w:tc>
        <w:tc>
          <w:tcPr>
            <w:tcW w:w="2552" w:type="dxa"/>
            <w:tcBorders>
              <w:top w:val="single" w:sz="4" w:space="0" w:color="00000A"/>
              <w:left w:val="single" w:sz="4" w:space="0" w:color="00000A"/>
              <w:bottom w:val="single" w:sz="4" w:space="0" w:color="auto"/>
              <w:right w:val="single" w:sz="4" w:space="0" w:color="00000A"/>
            </w:tcBorders>
          </w:tcPr>
          <w:p w:rsidR="006C04D2" w:rsidRDefault="00433011" w:rsidP="006C04D2">
            <w:r>
              <w:t>1328</w:t>
            </w:r>
            <w:r w:rsidR="006C04D2">
              <w:t>; 1584; 2006;</w:t>
            </w:r>
          </w:p>
          <w:p w:rsidR="006C04D2" w:rsidRDefault="006C04D2" w:rsidP="006C04D2">
            <w:r>
              <w:t>2700; 1979; 1580;</w:t>
            </w:r>
          </w:p>
          <w:p w:rsidR="006C04D2" w:rsidRDefault="006C04D2" w:rsidP="006C04D2">
            <w:r>
              <w:t>2853</w:t>
            </w:r>
          </w:p>
          <w:p w:rsidR="00433011" w:rsidRDefault="00433011" w:rsidP="00433011"/>
          <w:p w:rsidR="00433011" w:rsidRDefault="00433011" w:rsidP="00103A2E">
            <w:pPr>
              <w:jc w:val="center"/>
            </w:pPr>
          </w:p>
        </w:tc>
      </w:tr>
    </w:tbl>
    <w:p w:rsidR="00D04766" w:rsidRPr="00524AAC" w:rsidRDefault="00D04766" w:rsidP="000616FF">
      <w:pPr>
        <w:pStyle w:val="LO-normal"/>
        <w:ind w:firstLine="567"/>
        <w:jc w:val="center"/>
        <w:rPr>
          <w:rFonts w:ascii="Times New Roman" w:hAnsi="Times New Roman" w:cs="Times New Roman"/>
          <w:bCs/>
          <w:sz w:val="24"/>
          <w:szCs w:val="24"/>
        </w:rPr>
      </w:pPr>
    </w:p>
    <w:p w:rsidR="003772E2" w:rsidRDefault="003772E2" w:rsidP="00E51FF6">
      <w:pPr>
        <w:jc w:val="both"/>
      </w:pPr>
      <w:r>
        <w:t xml:space="preserve">   </w:t>
      </w:r>
      <w:r w:rsidR="00E51FF6">
        <w:tab/>
      </w:r>
      <w:r>
        <w:t>Обчислювач призначений для перетворення вхідних сигналів від лічильників газу, перетворення і вимірювання вхідних сигналів від перетворювачів вимірювальних тиску і температури газу, що протікає через лічильник, обчислення і зведення до стандартних умов його об’єму і об’ємної витрати.</w:t>
      </w:r>
    </w:p>
    <w:p w:rsidR="003772E2" w:rsidRDefault="003772E2" w:rsidP="00E51FF6">
      <w:pPr>
        <w:jc w:val="both"/>
      </w:pPr>
      <w:r>
        <w:t xml:space="preserve">  </w:t>
      </w:r>
      <w:r w:rsidR="00E51FF6">
        <w:tab/>
      </w:r>
      <w:r>
        <w:t>Обчислювач призначений для експлуатації у вибухонебезпечних і пожежобезпечних умовах.</w:t>
      </w:r>
    </w:p>
    <w:p w:rsidR="003772E2" w:rsidRDefault="003772E2" w:rsidP="00E51FF6">
      <w:pPr>
        <w:jc w:val="both"/>
      </w:pPr>
      <w:r>
        <w:t xml:space="preserve">   </w:t>
      </w:r>
      <w:r w:rsidR="00E51FF6">
        <w:tab/>
      </w:r>
      <w:r>
        <w:t xml:space="preserve">Обчислювач призначений для роботи з вимірювальними перетворювачами тиску і температури  газу, з уніфікованими вихідними сигналами постійного струму 4 — 20 мА та з </w:t>
      </w:r>
      <w:r w:rsidRPr="003C5C70">
        <w:t xml:space="preserve">лічильниками газу </w:t>
      </w:r>
      <w:r>
        <w:t>з вихідними імпульсними сигналами частотою 0-2000Гц .</w:t>
      </w:r>
    </w:p>
    <w:p w:rsidR="003772E2" w:rsidRDefault="003772E2" w:rsidP="00E51FF6">
      <w:pPr>
        <w:jc w:val="both"/>
      </w:pPr>
      <w:r>
        <w:t>Границі допустимої основної відносної похибки перетворення вхідних сигналів та обчислення витрати  і  об’єму газу становлять +/- 0,2%.</w:t>
      </w:r>
    </w:p>
    <w:p w:rsidR="003772E2" w:rsidRDefault="003772E2" w:rsidP="00E51FF6">
      <w:pPr>
        <w:jc w:val="both"/>
      </w:pPr>
      <w:r>
        <w:t xml:space="preserve">   </w:t>
      </w:r>
      <w:r w:rsidR="00E51FF6">
        <w:tab/>
      </w:r>
      <w:r>
        <w:t xml:space="preserve">До </w:t>
      </w:r>
      <w:r w:rsidRPr="00787E1E">
        <w:t xml:space="preserve">модернізації </w:t>
      </w:r>
      <w:r>
        <w:t>обчислювача відноситься :</w:t>
      </w:r>
    </w:p>
    <w:p w:rsidR="003772E2" w:rsidRPr="001C7487" w:rsidRDefault="003772E2" w:rsidP="00E51FF6">
      <w:pPr>
        <w:pStyle w:val="a3"/>
        <w:numPr>
          <w:ilvl w:val="0"/>
          <w:numId w:val="1"/>
        </w:numPr>
        <w:jc w:val="both"/>
      </w:pPr>
      <w:r w:rsidRPr="001C7487">
        <w:t xml:space="preserve">Заміна акумуляторної батареї 12v 2.3 </w:t>
      </w:r>
      <w:proofErr w:type="spellStart"/>
      <w:r w:rsidRPr="001C7487">
        <w:t>Ah</w:t>
      </w:r>
      <w:proofErr w:type="spellEnd"/>
    </w:p>
    <w:p w:rsidR="003772E2" w:rsidRPr="001C7487" w:rsidRDefault="003772E2" w:rsidP="00E51FF6">
      <w:pPr>
        <w:pStyle w:val="a3"/>
        <w:numPr>
          <w:ilvl w:val="0"/>
          <w:numId w:val="1"/>
        </w:numPr>
        <w:jc w:val="both"/>
      </w:pPr>
      <w:r w:rsidRPr="001C7487">
        <w:t>Заміна клавіатури</w:t>
      </w:r>
    </w:p>
    <w:p w:rsidR="003772E2" w:rsidRPr="001C7487" w:rsidRDefault="00145EC7" w:rsidP="00E51FF6">
      <w:pPr>
        <w:pStyle w:val="a3"/>
        <w:numPr>
          <w:ilvl w:val="0"/>
          <w:numId w:val="1"/>
        </w:numPr>
        <w:jc w:val="both"/>
      </w:pPr>
      <w:r w:rsidRPr="001C7487">
        <w:t xml:space="preserve">Заміна </w:t>
      </w:r>
      <w:proofErr w:type="spellStart"/>
      <w:r w:rsidRPr="001C7487">
        <w:t>роз’єму</w:t>
      </w:r>
      <w:proofErr w:type="spellEnd"/>
      <w:r w:rsidR="003772E2" w:rsidRPr="001C7487">
        <w:t xml:space="preserve"> живлення</w:t>
      </w:r>
    </w:p>
    <w:p w:rsidR="003772E2" w:rsidRPr="001C7487" w:rsidRDefault="00145EC7" w:rsidP="00E51FF6">
      <w:pPr>
        <w:pStyle w:val="a3"/>
        <w:numPr>
          <w:ilvl w:val="0"/>
          <w:numId w:val="1"/>
        </w:numPr>
        <w:jc w:val="both"/>
      </w:pPr>
      <w:r w:rsidRPr="001C7487">
        <w:t xml:space="preserve">Заміна </w:t>
      </w:r>
      <w:proofErr w:type="spellStart"/>
      <w:r w:rsidRPr="001C7487">
        <w:t>роз’єму</w:t>
      </w:r>
      <w:proofErr w:type="spellEnd"/>
      <w:r w:rsidR="003772E2" w:rsidRPr="001C7487">
        <w:t xml:space="preserve"> БЖ</w:t>
      </w:r>
    </w:p>
    <w:p w:rsidR="003772E2" w:rsidRPr="001C7487" w:rsidRDefault="003772E2" w:rsidP="00E51FF6">
      <w:pPr>
        <w:pStyle w:val="a3"/>
        <w:numPr>
          <w:ilvl w:val="0"/>
          <w:numId w:val="1"/>
        </w:numPr>
        <w:jc w:val="both"/>
      </w:pPr>
      <w:r w:rsidRPr="001C7487">
        <w:t>Заміна паспорта</w:t>
      </w:r>
    </w:p>
    <w:p w:rsidR="003772E2" w:rsidRPr="001C7487" w:rsidRDefault="00145EC7" w:rsidP="00E51FF6">
      <w:pPr>
        <w:pStyle w:val="a3"/>
        <w:numPr>
          <w:ilvl w:val="0"/>
          <w:numId w:val="1"/>
        </w:numPr>
        <w:jc w:val="both"/>
      </w:pPr>
      <w:r w:rsidRPr="001C7487">
        <w:t xml:space="preserve">Заміна </w:t>
      </w:r>
      <w:proofErr w:type="spellStart"/>
      <w:r w:rsidRPr="001C7487">
        <w:t>роз’єму</w:t>
      </w:r>
      <w:proofErr w:type="spellEnd"/>
      <w:r w:rsidR="003772E2" w:rsidRPr="001C7487">
        <w:t xml:space="preserve"> </w:t>
      </w:r>
      <w:proofErr w:type="spellStart"/>
      <w:r w:rsidR="003772E2" w:rsidRPr="001C7487">
        <w:t>інтерфейсного</w:t>
      </w:r>
      <w:proofErr w:type="spellEnd"/>
    </w:p>
    <w:p w:rsidR="003772E2" w:rsidRPr="001C7487" w:rsidRDefault="00145EC7" w:rsidP="00E51FF6">
      <w:pPr>
        <w:pStyle w:val="a3"/>
        <w:numPr>
          <w:ilvl w:val="0"/>
          <w:numId w:val="1"/>
        </w:numPr>
        <w:jc w:val="both"/>
      </w:pPr>
      <w:r w:rsidRPr="001C7487">
        <w:t xml:space="preserve">Заміна </w:t>
      </w:r>
      <w:proofErr w:type="spellStart"/>
      <w:r w:rsidRPr="001C7487">
        <w:t>роз’єму</w:t>
      </w:r>
      <w:proofErr w:type="spellEnd"/>
      <w:r w:rsidR="003772E2" w:rsidRPr="001C7487">
        <w:t xml:space="preserve"> датчиків</w:t>
      </w:r>
    </w:p>
    <w:p w:rsidR="003772E2" w:rsidRPr="001C7487" w:rsidRDefault="003772E2" w:rsidP="00E51FF6">
      <w:pPr>
        <w:pStyle w:val="a3"/>
        <w:numPr>
          <w:ilvl w:val="0"/>
          <w:numId w:val="1"/>
        </w:numPr>
        <w:jc w:val="both"/>
      </w:pPr>
      <w:r w:rsidRPr="001C7487">
        <w:t>Індикатор ВС1602Е</w:t>
      </w:r>
    </w:p>
    <w:p w:rsidR="003772E2" w:rsidRPr="00F8517E" w:rsidRDefault="003772E2" w:rsidP="00E51FF6">
      <w:pPr>
        <w:pStyle w:val="a3"/>
        <w:numPr>
          <w:ilvl w:val="0"/>
          <w:numId w:val="1"/>
        </w:numPr>
        <w:jc w:val="both"/>
        <w:rPr>
          <w:lang w:val="en-US"/>
        </w:rPr>
      </w:pPr>
      <w:r>
        <w:t xml:space="preserve">Заміна корпуса на 4-х </w:t>
      </w:r>
      <w:proofErr w:type="spellStart"/>
      <w:r>
        <w:t>розємний</w:t>
      </w:r>
      <w:proofErr w:type="spellEnd"/>
    </w:p>
    <w:p w:rsidR="003772E2" w:rsidRPr="00F8517E" w:rsidRDefault="003772E2" w:rsidP="00E51FF6">
      <w:pPr>
        <w:pStyle w:val="a3"/>
        <w:numPr>
          <w:ilvl w:val="0"/>
          <w:numId w:val="1"/>
        </w:numPr>
        <w:jc w:val="both"/>
        <w:rPr>
          <w:lang w:val="en-US"/>
        </w:rPr>
      </w:pPr>
      <w:r>
        <w:t>Заміна мікропроцесорного модуля</w:t>
      </w:r>
    </w:p>
    <w:p w:rsidR="003772E2" w:rsidRPr="00F8517E" w:rsidRDefault="003772E2" w:rsidP="00E51FF6">
      <w:pPr>
        <w:pStyle w:val="a3"/>
        <w:numPr>
          <w:ilvl w:val="0"/>
          <w:numId w:val="1"/>
        </w:numPr>
        <w:jc w:val="both"/>
        <w:rPr>
          <w:lang w:val="en-US"/>
        </w:rPr>
      </w:pPr>
      <w:r>
        <w:t xml:space="preserve">Заміна </w:t>
      </w:r>
      <w:proofErr w:type="spellStart"/>
      <w:r>
        <w:t>інтерфейсної</w:t>
      </w:r>
      <w:proofErr w:type="spellEnd"/>
      <w:r>
        <w:t xml:space="preserve"> плати</w:t>
      </w:r>
    </w:p>
    <w:p w:rsidR="003772E2" w:rsidRPr="00F8517E" w:rsidRDefault="003772E2" w:rsidP="00E51FF6">
      <w:pPr>
        <w:pStyle w:val="a3"/>
        <w:numPr>
          <w:ilvl w:val="0"/>
          <w:numId w:val="1"/>
        </w:numPr>
        <w:jc w:val="both"/>
        <w:rPr>
          <w:lang w:val="en-US"/>
        </w:rPr>
      </w:pPr>
      <w:r>
        <w:t>Заміна основної плати «Універсал»</w:t>
      </w:r>
    </w:p>
    <w:p w:rsidR="003772E2" w:rsidRPr="00F90057" w:rsidRDefault="003772E2" w:rsidP="00E51FF6">
      <w:pPr>
        <w:pStyle w:val="a3"/>
        <w:numPr>
          <w:ilvl w:val="0"/>
          <w:numId w:val="1"/>
        </w:numPr>
        <w:jc w:val="both"/>
        <w:rPr>
          <w:lang w:val="en-US"/>
        </w:rPr>
      </w:pPr>
      <w:r>
        <w:t>Плата HART модуля</w:t>
      </w:r>
    </w:p>
    <w:p w:rsidR="003772E2" w:rsidRPr="00F90057" w:rsidRDefault="003772E2" w:rsidP="00E51FF6">
      <w:pPr>
        <w:pStyle w:val="LO-normal"/>
        <w:numPr>
          <w:ilvl w:val="0"/>
          <w:numId w:val="1"/>
        </w:numPr>
        <w:jc w:val="both"/>
        <w:rPr>
          <w:rFonts w:ascii="Times New Roman" w:hAnsi="Times New Roman" w:cs="Times New Roman"/>
          <w:sz w:val="24"/>
          <w:szCs w:val="24"/>
          <w:shd w:val="clear" w:color="auto" w:fill="FFFFFF"/>
        </w:rPr>
      </w:pPr>
      <w:r w:rsidRPr="00F90057">
        <w:rPr>
          <w:rFonts w:ascii="Times New Roman" w:hAnsi="Times New Roman" w:cs="Times New Roman"/>
          <w:sz w:val="24"/>
          <w:szCs w:val="24"/>
        </w:rPr>
        <w:t>Державно повірка обчислювача об’єму газу «Універсал-02»</w:t>
      </w:r>
    </w:p>
    <w:p w:rsidR="00D04766" w:rsidRPr="00524AAC" w:rsidRDefault="00D04766" w:rsidP="00E51FF6">
      <w:pPr>
        <w:pStyle w:val="LO-normal"/>
        <w:ind w:firstLine="567"/>
        <w:jc w:val="both"/>
        <w:rPr>
          <w:rFonts w:ascii="Times New Roman" w:hAnsi="Times New Roman" w:cs="Times New Roman"/>
          <w:bCs/>
          <w:sz w:val="24"/>
          <w:szCs w:val="24"/>
        </w:rPr>
      </w:pPr>
    </w:p>
    <w:p w:rsidR="009E794F" w:rsidRDefault="003772E2" w:rsidP="00E51FF6">
      <w:pPr>
        <w:pStyle w:val="LO-normal"/>
        <w:jc w:val="both"/>
        <w:rPr>
          <w:rFonts w:ascii="Times New Roman" w:hAnsi="Times New Roman" w:cs="Times New Roman"/>
          <w:sz w:val="24"/>
          <w:szCs w:val="24"/>
        </w:rPr>
      </w:pPr>
      <w:r w:rsidRPr="00433011">
        <w:rPr>
          <w:rFonts w:ascii="Times New Roman" w:hAnsi="Times New Roman" w:cs="Times New Roman"/>
          <w:bCs/>
          <w:sz w:val="24"/>
          <w:szCs w:val="24"/>
        </w:rPr>
        <w:t xml:space="preserve">    </w:t>
      </w:r>
      <w:r>
        <w:rPr>
          <w:rFonts w:ascii="Times New Roman" w:hAnsi="Times New Roman" w:cs="Times New Roman"/>
          <w:sz w:val="24"/>
          <w:szCs w:val="24"/>
        </w:rPr>
        <w:t xml:space="preserve"> </w:t>
      </w:r>
      <w:r w:rsidR="00E51FF6">
        <w:rPr>
          <w:rFonts w:ascii="Times New Roman" w:hAnsi="Times New Roman" w:cs="Times New Roman"/>
          <w:sz w:val="24"/>
          <w:szCs w:val="24"/>
        </w:rPr>
        <w:tab/>
      </w:r>
      <w:r>
        <w:rPr>
          <w:rFonts w:ascii="Times New Roman" w:hAnsi="Times New Roman" w:cs="Times New Roman"/>
          <w:sz w:val="24"/>
          <w:szCs w:val="24"/>
        </w:rPr>
        <w:t xml:space="preserve"> </w:t>
      </w:r>
      <w:r w:rsidR="009E794F">
        <w:rPr>
          <w:rFonts w:ascii="Times New Roman" w:hAnsi="Times New Roman" w:cs="Times New Roman"/>
          <w:sz w:val="24"/>
          <w:szCs w:val="24"/>
        </w:rPr>
        <w:t>Під час виконання послуги дотримуватися керівництва з експлуатації о</w:t>
      </w:r>
      <w:r w:rsidR="009C5936" w:rsidRPr="004327E6">
        <w:rPr>
          <w:rFonts w:ascii="Times New Roman" w:hAnsi="Times New Roman" w:cs="Times New Roman"/>
          <w:sz w:val="24"/>
          <w:szCs w:val="24"/>
        </w:rPr>
        <w:t>бчислювача об’єму газу УНІВЕРСАЛ-02   ГРЕМ.020000.001-02 КЕ</w:t>
      </w:r>
      <w:r w:rsidR="009C5936" w:rsidRPr="004327E6">
        <w:rPr>
          <w:rFonts w:ascii="Times New Roman" w:hAnsi="Times New Roman" w:cs="Times New Roman"/>
          <w:b/>
          <w:sz w:val="24"/>
          <w:szCs w:val="24"/>
        </w:rPr>
        <w:t>;</w:t>
      </w:r>
      <w:r w:rsidR="00150292">
        <w:rPr>
          <w:rFonts w:ascii="Times New Roman" w:hAnsi="Times New Roman" w:cs="Times New Roman"/>
          <w:sz w:val="24"/>
          <w:szCs w:val="24"/>
        </w:rPr>
        <w:t xml:space="preserve"> т</w:t>
      </w:r>
      <w:r w:rsidR="009C5936" w:rsidRPr="004327E6">
        <w:rPr>
          <w:rFonts w:ascii="Times New Roman" w:hAnsi="Times New Roman" w:cs="Times New Roman"/>
          <w:sz w:val="24"/>
          <w:szCs w:val="24"/>
        </w:rPr>
        <w:t>ехнічних умов ТУ У 13325726.002-99</w:t>
      </w:r>
      <w:r w:rsidR="009C5936" w:rsidRPr="004327E6">
        <w:rPr>
          <w:rFonts w:ascii="Times New Roman" w:hAnsi="Times New Roman" w:cs="Times New Roman"/>
          <w:b/>
          <w:sz w:val="24"/>
          <w:szCs w:val="24"/>
        </w:rPr>
        <w:t xml:space="preserve"> </w:t>
      </w:r>
      <w:r w:rsidR="009C5936" w:rsidRPr="004327E6">
        <w:rPr>
          <w:rFonts w:ascii="Times New Roman" w:hAnsi="Times New Roman" w:cs="Times New Roman"/>
          <w:sz w:val="24"/>
          <w:szCs w:val="24"/>
        </w:rPr>
        <w:t>на</w:t>
      </w:r>
      <w:r w:rsidR="009C5936" w:rsidRPr="004327E6">
        <w:rPr>
          <w:rFonts w:ascii="Times New Roman" w:hAnsi="Times New Roman" w:cs="Times New Roman"/>
          <w:b/>
          <w:sz w:val="24"/>
          <w:szCs w:val="24"/>
        </w:rPr>
        <w:t xml:space="preserve"> </w:t>
      </w:r>
      <w:r w:rsidR="004A766C">
        <w:rPr>
          <w:rFonts w:ascii="Times New Roman" w:hAnsi="Times New Roman" w:cs="Times New Roman"/>
          <w:sz w:val="24"/>
          <w:szCs w:val="24"/>
        </w:rPr>
        <w:t>б</w:t>
      </w:r>
      <w:r w:rsidR="009C5936" w:rsidRPr="004327E6">
        <w:rPr>
          <w:rFonts w:ascii="Times New Roman" w:hAnsi="Times New Roman" w:cs="Times New Roman"/>
          <w:sz w:val="24"/>
          <w:szCs w:val="24"/>
        </w:rPr>
        <w:t xml:space="preserve">ар’єри </w:t>
      </w:r>
      <w:proofErr w:type="spellStart"/>
      <w:r w:rsidR="009C5936" w:rsidRPr="004327E6">
        <w:rPr>
          <w:rFonts w:ascii="Times New Roman" w:hAnsi="Times New Roman" w:cs="Times New Roman"/>
          <w:sz w:val="24"/>
          <w:szCs w:val="24"/>
        </w:rPr>
        <w:t>іскрозахисту</w:t>
      </w:r>
      <w:proofErr w:type="spellEnd"/>
      <w:r w:rsidR="009C5936" w:rsidRPr="004327E6">
        <w:rPr>
          <w:rFonts w:ascii="Times New Roman" w:hAnsi="Times New Roman" w:cs="Times New Roman"/>
          <w:sz w:val="24"/>
          <w:szCs w:val="24"/>
        </w:rPr>
        <w:t xml:space="preserve"> БІ-01, БІ-02, БІ-03;  паспорта на акумуляторний блок УНІВЕРСАЛ АБ-12.  ГРЕМ 02.0000.007 </w:t>
      </w:r>
      <w:proofErr w:type="spellStart"/>
      <w:r w:rsidR="009C5936" w:rsidRPr="004327E6">
        <w:rPr>
          <w:rFonts w:ascii="Times New Roman" w:hAnsi="Times New Roman" w:cs="Times New Roman"/>
          <w:sz w:val="24"/>
          <w:szCs w:val="24"/>
        </w:rPr>
        <w:t>ПС</w:t>
      </w:r>
      <w:proofErr w:type="spellEnd"/>
      <w:r w:rsidR="000F7414">
        <w:rPr>
          <w:rFonts w:ascii="Times New Roman" w:hAnsi="Times New Roman" w:cs="Times New Roman"/>
          <w:sz w:val="24"/>
          <w:szCs w:val="24"/>
        </w:rPr>
        <w:t>;</w:t>
      </w:r>
      <w:r w:rsidR="009C5936" w:rsidRPr="004327E6">
        <w:rPr>
          <w:rFonts w:ascii="Times New Roman" w:hAnsi="Times New Roman" w:cs="Times New Roman"/>
          <w:sz w:val="24"/>
          <w:szCs w:val="24"/>
          <w:shd w:val="clear" w:color="auto" w:fill="FFFFFF"/>
        </w:rPr>
        <w:t xml:space="preserve"> </w:t>
      </w:r>
      <w:r w:rsidR="000F7414">
        <w:rPr>
          <w:rFonts w:ascii="Times New Roman" w:hAnsi="Times New Roman" w:cs="Times New Roman"/>
          <w:bCs/>
          <w:sz w:val="24"/>
          <w:szCs w:val="24"/>
        </w:rPr>
        <w:t>Кодексу газорозподіль</w:t>
      </w:r>
      <w:r w:rsidR="001C7487">
        <w:rPr>
          <w:rFonts w:ascii="Times New Roman" w:hAnsi="Times New Roman" w:cs="Times New Roman"/>
          <w:bCs/>
          <w:sz w:val="24"/>
          <w:szCs w:val="24"/>
        </w:rPr>
        <w:t>н</w:t>
      </w:r>
      <w:r w:rsidR="000F7414">
        <w:rPr>
          <w:rFonts w:ascii="Times New Roman" w:hAnsi="Times New Roman" w:cs="Times New Roman"/>
          <w:bCs/>
          <w:sz w:val="24"/>
          <w:szCs w:val="24"/>
        </w:rPr>
        <w:t>их систем, Затвердженого</w:t>
      </w:r>
      <w:r w:rsidR="009E794F" w:rsidRPr="004327E6">
        <w:rPr>
          <w:rFonts w:ascii="Times New Roman" w:hAnsi="Times New Roman" w:cs="Times New Roman"/>
          <w:bCs/>
          <w:sz w:val="24"/>
          <w:szCs w:val="24"/>
        </w:rPr>
        <w:t xml:space="preserve"> постановою НКРЕКП від 30.09.2015 року </w:t>
      </w:r>
      <w:r w:rsidR="004A766C">
        <w:rPr>
          <w:rFonts w:ascii="Times New Roman" w:hAnsi="Times New Roman" w:cs="Times New Roman"/>
          <w:sz w:val="24"/>
          <w:szCs w:val="24"/>
        </w:rPr>
        <w:t>№2494.</w:t>
      </w:r>
    </w:p>
    <w:p w:rsidR="00F90057" w:rsidRDefault="009C5936" w:rsidP="009C5936">
      <w:pPr>
        <w:pStyle w:val="LO-normal"/>
        <w:jc w:val="both"/>
        <w:rPr>
          <w:rFonts w:ascii="Times New Roman" w:hAnsi="Times New Roman" w:cs="Times New Roman"/>
          <w:sz w:val="24"/>
          <w:szCs w:val="24"/>
          <w:shd w:val="clear" w:color="auto" w:fill="FFFFFF"/>
        </w:rPr>
      </w:pPr>
      <w:r w:rsidRPr="004327E6">
        <w:rPr>
          <w:rFonts w:ascii="Times New Roman" w:hAnsi="Times New Roman" w:cs="Times New Roman"/>
          <w:sz w:val="24"/>
          <w:szCs w:val="24"/>
          <w:shd w:val="clear" w:color="auto" w:fill="FFFFFF"/>
        </w:rPr>
        <w:t xml:space="preserve">                      </w:t>
      </w:r>
    </w:p>
    <w:p w:rsidR="00F90057" w:rsidRDefault="00F90057" w:rsidP="009C5936">
      <w:pPr>
        <w:pStyle w:val="LO-normal"/>
        <w:jc w:val="both"/>
        <w:rPr>
          <w:rFonts w:ascii="Times New Roman" w:hAnsi="Times New Roman" w:cs="Times New Roman"/>
          <w:sz w:val="24"/>
          <w:szCs w:val="24"/>
          <w:shd w:val="clear" w:color="auto" w:fill="FFFFFF"/>
        </w:rPr>
      </w:pPr>
    </w:p>
    <w:p w:rsidR="00F90057" w:rsidRDefault="00F90057" w:rsidP="009C5936">
      <w:pPr>
        <w:pStyle w:val="LO-normal"/>
        <w:jc w:val="both"/>
        <w:rPr>
          <w:rFonts w:ascii="Times New Roman" w:hAnsi="Times New Roman" w:cs="Times New Roman"/>
          <w:sz w:val="24"/>
          <w:szCs w:val="24"/>
          <w:shd w:val="clear" w:color="auto" w:fill="FFFFFF"/>
        </w:rPr>
      </w:pPr>
    </w:p>
    <w:p w:rsidR="00F90057" w:rsidRDefault="00F90057" w:rsidP="009C5936">
      <w:pPr>
        <w:pStyle w:val="LO-normal"/>
        <w:jc w:val="both"/>
        <w:rPr>
          <w:rFonts w:ascii="Times New Roman" w:hAnsi="Times New Roman" w:cs="Times New Roman"/>
          <w:sz w:val="24"/>
          <w:szCs w:val="24"/>
          <w:shd w:val="clear" w:color="auto" w:fill="FFFFFF"/>
        </w:rPr>
      </w:pPr>
    </w:p>
    <w:p w:rsidR="00F90057" w:rsidRDefault="00F90057" w:rsidP="009C5936">
      <w:pPr>
        <w:pStyle w:val="LO-normal"/>
        <w:jc w:val="both"/>
        <w:rPr>
          <w:rFonts w:ascii="Times New Roman" w:hAnsi="Times New Roman" w:cs="Times New Roman"/>
          <w:sz w:val="24"/>
          <w:szCs w:val="24"/>
          <w:shd w:val="clear" w:color="auto" w:fill="FFFFFF"/>
        </w:rPr>
      </w:pPr>
    </w:p>
    <w:p w:rsidR="00F90057" w:rsidRDefault="00F90057" w:rsidP="009C5936">
      <w:pPr>
        <w:pStyle w:val="LO-normal"/>
        <w:jc w:val="both"/>
        <w:rPr>
          <w:rFonts w:ascii="Times New Roman" w:hAnsi="Times New Roman" w:cs="Times New Roman"/>
          <w:sz w:val="24"/>
          <w:szCs w:val="24"/>
          <w:shd w:val="clear" w:color="auto" w:fill="FFFFFF"/>
        </w:rPr>
      </w:pPr>
    </w:p>
    <w:p w:rsidR="00F90057" w:rsidRDefault="00F90057" w:rsidP="009C5936">
      <w:pPr>
        <w:pStyle w:val="LO-normal"/>
        <w:jc w:val="both"/>
        <w:rPr>
          <w:rFonts w:ascii="Times New Roman" w:hAnsi="Times New Roman" w:cs="Times New Roman"/>
          <w:sz w:val="24"/>
          <w:szCs w:val="24"/>
          <w:shd w:val="clear" w:color="auto" w:fill="FFFFFF"/>
        </w:rPr>
      </w:pPr>
    </w:p>
    <w:p w:rsidR="00F90057" w:rsidRDefault="00F90057" w:rsidP="009C5936">
      <w:pPr>
        <w:pStyle w:val="LO-normal"/>
        <w:jc w:val="both"/>
        <w:rPr>
          <w:rFonts w:ascii="Times New Roman" w:hAnsi="Times New Roman" w:cs="Times New Roman"/>
          <w:sz w:val="24"/>
          <w:szCs w:val="24"/>
          <w:shd w:val="clear" w:color="auto" w:fill="FFFFFF"/>
        </w:rPr>
      </w:pPr>
    </w:p>
    <w:p w:rsidR="00F90057" w:rsidRDefault="00F90057" w:rsidP="009C5936">
      <w:pPr>
        <w:pStyle w:val="LO-normal"/>
        <w:jc w:val="both"/>
        <w:rPr>
          <w:rFonts w:ascii="Times New Roman" w:hAnsi="Times New Roman" w:cs="Times New Roman"/>
          <w:sz w:val="24"/>
          <w:szCs w:val="24"/>
          <w:shd w:val="clear" w:color="auto" w:fill="FFFFFF"/>
        </w:rPr>
      </w:pPr>
    </w:p>
    <w:p w:rsidR="00F90057" w:rsidRDefault="00F90057" w:rsidP="009C5936">
      <w:pPr>
        <w:pStyle w:val="LO-normal"/>
        <w:jc w:val="both"/>
        <w:rPr>
          <w:rFonts w:ascii="Times New Roman" w:hAnsi="Times New Roman" w:cs="Times New Roman"/>
          <w:sz w:val="24"/>
          <w:szCs w:val="24"/>
          <w:shd w:val="clear" w:color="auto" w:fill="FFFFFF"/>
        </w:rPr>
      </w:pPr>
    </w:p>
    <w:p w:rsidR="00F90057" w:rsidRDefault="00F90057" w:rsidP="009C5936">
      <w:pPr>
        <w:pStyle w:val="LO-normal"/>
        <w:jc w:val="both"/>
        <w:rPr>
          <w:rFonts w:ascii="Times New Roman" w:hAnsi="Times New Roman" w:cs="Times New Roman"/>
          <w:sz w:val="24"/>
          <w:szCs w:val="24"/>
          <w:shd w:val="clear" w:color="auto" w:fill="FFFFFF"/>
        </w:rPr>
      </w:pPr>
    </w:p>
    <w:p w:rsidR="00F90057" w:rsidRDefault="00F90057" w:rsidP="009C5936">
      <w:pPr>
        <w:pStyle w:val="LO-normal"/>
        <w:jc w:val="both"/>
        <w:rPr>
          <w:rFonts w:ascii="Times New Roman" w:hAnsi="Times New Roman" w:cs="Times New Roman"/>
          <w:sz w:val="24"/>
          <w:szCs w:val="24"/>
          <w:shd w:val="clear" w:color="auto" w:fill="FFFFFF"/>
        </w:rPr>
      </w:pPr>
    </w:p>
    <w:p w:rsidR="00F90057" w:rsidRDefault="00F90057" w:rsidP="009C5936">
      <w:pPr>
        <w:pStyle w:val="LO-normal"/>
        <w:jc w:val="both"/>
        <w:rPr>
          <w:rFonts w:ascii="Times New Roman" w:hAnsi="Times New Roman" w:cs="Times New Roman"/>
          <w:sz w:val="24"/>
          <w:szCs w:val="24"/>
          <w:shd w:val="clear" w:color="auto" w:fill="FFFFFF"/>
        </w:rPr>
      </w:pPr>
    </w:p>
    <w:p w:rsidR="00F90057" w:rsidRDefault="00F90057" w:rsidP="009C5936">
      <w:pPr>
        <w:pStyle w:val="LO-normal"/>
        <w:jc w:val="both"/>
        <w:rPr>
          <w:rFonts w:ascii="Times New Roman" w:hAnsi="Times New Roman" w:cs="Times New Roman"/>
          <w:sz w:val="24"/>
          <w:szCs w:val="24"/>
          <w:shd w:val="clear" w:color="auto" w:fill="FFFFFF"/>
        </w:rPr>
      </w:pPr>
    </w:p>
    <w:p w:rsidR="00F90057" w:rsidRDefault="00F90057" w:rsidP="009C5936">
      <w:pPr>
        <w:pStyle w:val="LO-normal"/>
        <w:jc w:val="both"/>
        <w:rPr>
          <w:rFonts w:ascii="Times New Roman" w:hAnsi="Times New Roman" w:cs="Times New Roman"/>
          <w:sz w:val="24"/>
          <w:szCs w:val="24"/>
          <w:shd w:val="clear" w:color="auto" w:fill="FFFFFF"/>
        </w:rPr>
      </w:pPr>
    </w:p>
    <w:p w:rsidR="00F90057" w:rsidRDefault="00F90057" w:rsidP="009C5936">
      <w:pPr>
        <w:pStyle w:val="LO-normal"/>
        <w:jc w:val="both"/>
        <w:rPr>
          <w:rFonts w:ascii="Times New Roman" w:hAnsi="Times New Roman" w:cs="Times New Roman"/>
          <w:sz w:val="24"/>
          <w:szCs w:val="24"/>
          <w:shd w:val="clear" w:color="auto" w:fill="FFFFFF"/>
        </w:rPr>
      </w:pPr>
    </w:p>
    <w:p w:rsidR="009C5936" w:rsidRPr="004327E6" w:rsidRDefault="009C5936" w:rsidP="009C5936">
      <w:pPr>
        <w:pStyle w:val="LO-normal"/>
        <w:jc w:val="both"/>
        <w:rPr>
          <w:rFonts w:ascii="Times New Roman" w:hAnsi="Times New Roman" w:cs="Times New Roman"/>
          <w:sz w:val="24"/>
          <w:szCs w:val="24"/>
          <w:shd w:val="clear" w:color="auto" w:fill="FFFFFF"/>
        </w:rPr>
      </w:pPr>
      <w:r w:rsidRPr="004327E6">
        <w:rPr>
          <w:rFonts w:ascii="Times New Roman" w:hAnsi="Times New Roman" w:cs="Times New Roman"/>
          <w:sz w:val="24"/>
          <w:szCs w:val="24"/>
          <w:shd w:val="clear" w:color="auto" w:fill="FFFFFF"/>
        </w:rPr>
        <w:t xml:space="preserve">                                   </w:t>
      </w:r>
    </w:p>
    <w:sectPr w:rsidR="009C5936" w:rsidRPr="004327E6" w:rsidSect="00D04766">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FF0"/>
    <w:multiLevelType w:val="hybridMultilevel"/>
    <w:tmpl w:val="3FD8AC02"/>
    <w:lvl w:ilvl="0" w:tplc="4D1EFF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C5936"/>
    <w:rsid w:val="00054586"/>
    <w:rsid w:val="000616FF"/>
    <w:rsid w:val="000F7414"/>
    <w:rsid w:val="00103A2E"/>
    <w:rsid w:val="00145EC7"/>
    <w:rsid w:val="00150292"/>
    <w:rsid w:val="00195989"/>
    <w:rsid w:val="001C7487"/>
    <w:rsid w:val="001D02DD"/>
    <w:rsid w:val="001D4C3C"/>
    <w:rsid w:val="002758C3"/>
    <w:rsid w:val="00343E19"/>
    <w:rsid w:val="003772E2"/>
    <w:rsid w:val="003C5C70"/>
    <w:rsid w:val="0040114F"/>
    <w:rsid w:val="00401154"/>
    <w:rsid w:val="004107A9"/>
    <w:rsid w:val="00433011"/>
    <w:rsid w:val="00484808"/>
    <w:rsid w:val="004A766C"/>
    <w:rsid w:val="004B0E83"/>
    <w:rsid w:val="004B1DF1"/>
    <w:rsid w:val="005138C6"/>
    <w:rsid w:val="00524AAC"/>
    <w:rsid w:val="005B5739"/>
    <w:rsid w:val="00604DEC"/>
    <w:rsid w:val="00647FE7"/>
    <w:rsid w:val="00671F7B"/>
    <w:rsid w:val="006C04D2"/>
    <w:rsid w:val="006D3285"/>
    <w:rsid w:val="0074137F"/>
    <w:rsid w:val="00787E1E"/>
    <w:rsid w:val="007B50CE"/>
    <w:rsid w:val="007D326E"/>
    <w:rsid w:val="00834CD6"/>
    <w:rsid w:val="008A0EE7"/>
    <w:rsid w:val="008F3065"/>
    <w:rsid w:val="0098021C"/>
    <w:rsid w:val="009B583F"/>
    <w:rsid w:val="009C5936"/>
    <w:rsid w:val="009E5365"/>
    <w:rsid w:val="009E794F"/>
    <w:rsid w:val="00A97347"/>
    <w:rsid w:val="00AA3DBD"/>
    <w:rsid w:val="00BE269C"/>
    <w:rsid w:val="00C519E8"/>
    <w:rsid w:val="00C80EF4"/>
    <w:rsid w:val="00CB397F"/>
    <w:rsid w:val="00D04766"/>
    <w:rsid w:val="00D372DB"/>
    <w:rsid w:val="00D805CF"/>
    <w:rsid w:val="00E51FF6"/>
    <w:rsid w:val="00E543FE"/>
    <w:rsid w:val="00E95283"/>
    <w:rsid w:val="00EA66AE"/>
    <w:rsid w:val="00F14531"/>
    <w:rsid w:val="00F8517E"/>
    <w:rsid w:val="00F90057"/>
    <w:rsid w:val="00FB33FD"/>
    <w:rsid w:val="00FE6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936"/>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normal">
    <w:name w:val="LO-normal"/>
    <w:qFormat/>
    <w:rsid w:val="009C5936"/>
    <w:pPr>
      <w:spacing w:after="0" w:line="240" w:lineRule="auto"/>
    </w:pPr>
    <w:rPr>
      <w:rFonts w:ascii="Calibri" w:eastAsia="Calibri" w:hAnsi="Calibri" w:cs="Calibri"/>
      <w:color w:val="00000A"/>
      <w:lang w:val="uk-UA" w:eastAsia="ru-RU"/>
    </w:rPr>
  </w:style>
  <w:style w:type="paragraph" w:customStyle="1" w:styleId="1">
    <w:name w:val="Без интервала1"/>
    <w:link w:val="NoSpacingChar"/>
    <w:qFormat/>
    <w:rsid w:val="009C5936"/>
    <w:pPr>
      <w:suppressAutoHyphens/>
      <w:spacing w:after="0" w:line="240" w:lineRule="auto"/>
    </w:pPr>
    <w:rPr>
      <w:rFonts w:ascii="Calibri" w:eastAsia="Times New Roman" w:hAnsi="Calibri" w:cs="Times New Roman"/>
      <w:lang w:eastAsia="zh-CN"/>
    </w:rPr>
  </w:style>
  <w:style w:type="character" w:customStyle="1" w:styleId="NoSpacingChar">
    <w:name w:val="No Spacing Char"/>
    <w:link w:val="1"/>
    <w:qFormat/>
    <w:locked/>
    <w:rsid w:val="009C5936"/>
    <w:rPr>
      <w:rFonts w:ascii="Calibri" w:eastAsia="Times New Roman" w:hAnsi="Calibri" w:cs="Times New Roman"/>
      <w:lang w:eastAsia="zh-CN"/>
    </w:rPr>
  </w:style>
  <w:style w:type="paragraph" w:styleId="a3">
    <w:name w:val="List Paragraph"/>
    <w:basedOn w:val="a"/>
    <w:uiPriority w:val="34"/>
    <w:qFormat/>
    <w:rsid w:val="00E95283"/>
    <w:pPr>
      <w:ind w:left="720"/>
      <w:contextualSpacing/>
    </w:pPr>
  </w:style>
  <w:style w:type="paragraph" w:styleId="a4">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qFormat/>
    <w:rsid w:val="00103A2E"/>
    <w:pPr>
      <w:spacing w:before="100" w:beforeAutospacing="1" w:after="100" w:afterAutospacing="1"/>
    </w:pPr>
    <w:rPr>
      <w:szCs w:val="20"/>
    </w:rPr>
  </w:style>
  <w:style w:type="character" w:customStyle="1" w:styleId="a5">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103A2E"/>
    <w:rPr>
      <w:rFonts w:ascii="Times New Roman" w:eastAsia="Times New Roman" w:hAnsi="Times New Roman" w:cs="Times New Roman"/>
      <w:sz w:val="24"/>
      <w:szCs w:val="20"/>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317</Words>
  <Characters>1807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Energetic</dc:creator>
  <cp:lastModifiedBy>Oxrana_Truda</cp:lastModifiedBy>
  <cp:revision>4</cp:revision>
  <cp:lastPrinted>2023-07-21T05:54:00Z</cp:lastPrinted>
  <dcterms:created xsi:type="dcterms:W3CDTF">2023-07-21T08:54:00Z</dcterms:created>
  <dcterms:modified xsi:type="dcterms:W3CDTF">2023-07-21T11:40:00Z</dcterms:modified>
</cp:coreProperties>
</file>