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20" w:rsidRDefault="00DB69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 1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:rsidR="008A6520" w:rsidRDefault="008A65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 ЗАДАННЯ</w:t>
      </w:r>
    </w:p>
    <w:p w:rsidR="008A6520" w:rsidRDefault="00DB691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021:2015 - 33600000-6 Фармацевтична продукція» (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Metamizole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Acetylcysteine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Hydroxyethylstarch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Glucose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Potassium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Potassium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in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combination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with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other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drugs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in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combination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with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other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drugs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Levofloxacin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Magnesium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sulfate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Mannitol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Metronidazole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Ofloxacin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Paracetamol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Paracetamol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Theophylline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Tranexamic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acid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Fluconazole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Ceftriaxone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Ceftazidime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Cefepime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Ciprofloxacin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bicarbonate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Moxifloxacin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Enoxaparin</w:t>
      </w:r>
      <w:proofErr w:type="spellEnd"/>
      <w:r w:rsidR="00352098" w:rsidRPr="00FE7184">
        <w:rPr>
          <w:lang w:val="en-US"/>
        </w:rPr>
        <w:t xml:space="preserve">, </w:t>
      </w:r>
      <w:proofErr w:type="spellStart"/>
      <w:r w:rsidR="00352098" w:rsidRPr="00CC3073">
        <w:rPr>
          <w:rFonts w:ascii="Times New Roman" w:hAnsi="Times New Roman" w:cs="Times New Roman"/>
          <w:b/>
          <w:bCs/>
          <w:sz w:val="22"/>
          <w:szCs w:val="22"/>
        </w:rPr>
        <w:t>Enoxaparin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РОЗДІЛ 1: </w:t>
      </w:r>
      <w:r>
        <w:rPr>
          <w:rFonts w:ascii="Times" w:eastAsia="Times" w:hAnsi="Times" w:cs="Times"/>
          <w:b/>
          <w:color w:val="000000"/>
          <w:sz w:val="28"/>
          <w:szCs w:val="28"/>
        </w:rPr>
        <w:t>ЗАГАЛЬНІ ВИМОГИ: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транспортуванню) наявність в учасника власних або орендованих складових приміщень та транспорту для забезпечення умов зберігання "холодовий ланцюг".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Еквівалентом (аналогом) лікарського засобу в розумінні даної тендерної документації є лікарський засіб якість, діюча речовина препарату (міжнародна назва), дозування, форма випуску, концентрація 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препарат повинен відповідати всім нижче наведеним вимогам та бути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біодоступним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та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біоеквівалентним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в порівнянні з лікарським засобом, що є предметом закупівлі.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4. Усі запропоновані лікарські засоби мають бути належним чином зареєстрованими в МОЗ України (подаються завірені належним чином копії реєстраційних посвідчень при поставці товару на вимогу Замовника), про що надається гарантійний лист.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Препарати повинні мати інструкції по використанню українською мовою.</w:t>
      </w:r>
    </w:p>
    <w:p w:rsidR="008A6520" w:rsidRDefault="00DB691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Замовнику.</w:t>
      </w:r>
    </w:p>
    <w:p w:rsidR="008A6520" w:rsidRDefault="00DB691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Учасник зобов’язаний забезпечити поставку (доставку) лікарських засобів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(за адресою замовника) 32200, 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Деражня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вул. Подільська ,1.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7. 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кількості, якості. Гарантійний лист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мати назву предмету закупівлі, номер оголошення даних електронних торгів. 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Ціни за одиницю товару запропоновані учасником повинні формуватись</w:t>
      </w:r>
      <w:r>
        <w:rPr>
          <w:rFonts w:ascii="Times" w:eastAsia="Times" w:hAnsi="Times" w:cs="Times"/>
          <w:color w:val="000000"/>
          <w:sz w:val="24"/>
          <w:szCs w:val="24"/>
        </w:rPr>
        <w:t>, згідно Постанови КМУ від 2 липня 2014 р. № 240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Про референтне ціноутворення на лікарські засоби та вироби медичного призначення, що закуповуються за кошти державного та місцевих бюджетів», Постанови КМУ від 17.10.2008 р. №955 «Про заходи щодо стабілізації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цін на лікарські засоби і вироби медичного призначення» зі змінами.</w:t>
      </w:r>
    </w:p>
    <w:p w:rsidR="008A6520" w:rsidRDefault="008A6520">
      <w:pPr>
        <w:pBdr>
          <w:top w:val="nil"/>
          <w:left w:val="nil"/>
          <w:bottom w:val="nil"/>
          <w:right w:val="nil"/>
          <w:between w:val="nil"/>
        </w:pBdr>
        <w:spacing w:after="200" w:line="264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520" w:rsidRDefault="00DB6919">
      <w:pPr>
        <w:pBdr>
          <w:top w:val="nil"/>
          <w:left w:val="nil"/>
          <w:bottom w:val="nil"/>
          <w:right w:val="nil"/>
          <w:between w:val="nil"/>
        </w:pBdr>
        <w:spacing w:after="200" w:line="264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2. МЕДИКО-ТЕХНІЧНІ ХАРАКТЕРИСТИКИ</w:t>
      </w:r>
    </w:p>
    <w:p w:rsidR="008A6520" w:rsidRPr="00ED364C" w:rsidRDefault="00DB6919" w:rsidP="00ED364C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021:2015 - 33600000-6 Фармацевтична продукція» (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Metamizole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Acetylcysteine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Hydroxyethylstarch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Glucose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Potassium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Potassium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in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combination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with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other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drugs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Electrolytes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in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combination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with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other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drugs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Levofloxacin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Magnesium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sulfate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Mannitol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Metronidazole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chloride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Ofloxacin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Paracetamol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Paracetamol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Theophylline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Tranexamic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acid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Fluconazole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Ceftriaxone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Ceftazidime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Cefepime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Ciprofloxacin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Sodium</w:t>
      </w:r>
      <w:proofErr w:type="spellEnd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bicarbonate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Moxifloxacin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Enoxaparin</w:t>
      </w:r>
      <w:proofErr w:type="spellEnd"/>
      <w:r w:rsidR="00ED364C" w:rsidRPr="00FE7184">
        <w:t xml:space="preserve">, </w:t>
      </w:r>
      <w:proofErr w:type="spellStart"/>
      <w:r w:rsidR="00ED364C" w:rsidRPr="00CC3073">
        <w:rPr>
          <w:rFonts w:ascii="Times New Roman" w:hAnsi="Times New Roman" w:cs="Times New Roman"/>
          <w:b/>
          <w:bCs/>
          <w:sz w:val="22"/>
          <w:szCs w:val="22"/>
        </w:rPr>
        <w:t>Enoxaparin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tbl>
      <w:tblPr>
        <w:tblStyle w:val="a5"/>
        <w:tblW w:w="10455" w:type="dxa"/>
        <w:tblInd w:w="-567" w:type="dxa"/>
        <w:tblLayout w:type="fixed"/>
        <w:tblLook w:val="0000"/>
      </w:tblPr>
      <w:tblGrid>
        <w:gridCol w:w="709"/>
        <w:gridCol w:w="2126"/>
        <w:gridCol w:w="5220"/>
        <w:gridCol w:w="1213"/>
        <w:gridCol w:w="1187"/>
      </w:tblGrid>
      <w:tr w:rsidR="008A6520" w:rsidRPr="00DD6690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E"/>
            <w:vAlign w:val="center"/>
          </w:tcPr>
          <w:p w:rsidR="008A6520" w:rsidRPr="00DD6690" w:rsidRDefault="008A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D6EE"/>
            <w:vAlign w:val="center"/>
          </w:tcPr>
          <w:p w:rsidR="008A6520" w:rsidRPr="00DD6690" w:rsidRDefault="00D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МНН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D6EE"/>
            <w:vAlign w:val="center"/>
          </w:tcPr>
          <w:p w:rsidR="008A6520" w:rsidRPr="00DD6690" w:rsidRDefault="00D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Торгівельна назва або еквівалент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D6EE"/>
            <w:vAlign w:val="center"/>
          </w:tcPr>
          <w:p w:rsidR="008A6520" w:rsidRPr="00DD6690" w:rsidRDefault="00D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Од, </w:t>
            </w:r>
            <w:proofErr w:type="spellStart"/>
            <w:r w:rsidRPr="00DD66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вим</w:t>
            </w:r>
            <w:proofErr w:type="spellEnd"/>
            <w:r w:rsidRPr="00DD66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D6EE"/>
            <w:vAlign w:val="center"/>
          </w:tcPr>
          <w:p w:rsidR="008A6520" w:rsidRPr="00DD6690" w:rsidRDefault="00D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Кількість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Metamizole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sodium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Анальгін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ін'єкцій, 500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в ампулі</w:t>
            </w:r>
            <w:r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Acetylcysteine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Інгаміст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ін'єкцій, 100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3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в ампулі з темного скла</w:t>
            </w:r>
            <w:r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Hydroxyethylstarch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Гекодез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60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Glucose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Глюкоза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50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Potassium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chloride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Калію 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лорид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розчину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75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флакон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Potassium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chloride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Калію 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лорид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розчину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75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флакон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Electrolytes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Рінгер-</w:t>
            </w:r>
            <w:proofErr w:type="spellEnd"/>
            <w:r w:rsidR="002A6CD9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актатний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Electrolytes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Рінгер-</w:t>
            </w:r>
            <w:proofErr w:type="spellEnd"/>
            <w:r w:rsidR="002A6CD9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актатний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400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Electrolytes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combination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with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drugs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Реосорбілакт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Electrolytes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combination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with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drugs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Реосорбілакт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400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Levofloxacin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Лефлоцин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5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Magnesium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sulfate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Магнію </w:t>
            </w:r>
            <w:r w:rsidR="002E4BB5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ульфат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розчин для ін'єкцій, 250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5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в ампулі</w:t>
            </w:r>
            <w:r w:rsidR="002A6CD9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Mannitol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Маніт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150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Metronidazole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Метронідазол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5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Sodium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chloride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Натрію </w:t>
            </w:r>
            <w:proofErr w:type="spellStart"/>
            <w:r w:rsidR="002A6CD9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лорид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9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Sodium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chloride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Натрію </w:t>
            </w:r>
            <w:proofErr w:type="spellStart"/>
            <w:r w:rsidR="002A6CD9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лорид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9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400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Sodium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chloride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Натрію </w:t>
            </w:r>
            <w:proofErr w:type="spellStart"/>
            <w:r w:rsidR="002A6CD9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лорид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9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Ofloxacin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Офлоксацин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2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Paracetamol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Інфулган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10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Paracetamol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Інфулган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10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Theophylline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Еуфілін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ін'єкцій, 20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5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в ампулі</w:t>
            </w:r>
            <w:r w:rsidR="002A6CD9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Tranexamic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acid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Сангера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ін'єкцій, 100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5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в ампулі</w:t>
            </w:r>
            <w:r w:rsidR="00D11B73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Fluconazole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Флуконазол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2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Ceftriaxone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Цефтр</w:t>
            </w:r>
            <w:r w:rsidR="0062467F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аксон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порошок для приготування розчину для ін'єкцій 1000 мг </w:t>
            </w:r>
            <w:r w:rsidR="00D11B73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флакон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Ceftazidime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Цефтазидим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порошок для розчину для ін'єкцій по 1000 мг</w:t>
            </w:r>
            <w:r w:rsidR="00D11B73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флакон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Cefepime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Цефепім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порошок для розчину для ін'єкцій, по 1000 мг</w:t>
            </w:r>
            <w:r w:rsidR="00D11B73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флакон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Ciprofloxacin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Ципрофлоксацин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 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2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100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Sodium</w:t>
            </w:r>
            <w:proofErr w:type="spellEnd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bicarbonate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Сода-</w:t>
            </w:r>
            <w:proofErr w:type="spellEnd"/>
            <w:r w:rsidR="00D11B73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уфер</w:t>
            </w:r>
            <w:proofErr w:type="spellEnd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розчин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, 42 мг/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пляшка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Moxifloxacin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Максіцин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концентрат для розчину для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інфузій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400 мг/20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, по 20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у флаконі</w:t>
            </w:r>
            <w:r w:rsidR="00D11B73" w:rsidRPr="00DD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</w:t>
            </w:r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флакон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Enoxaparin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Новопарин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ін'єкцій, 100 мг (10 000 анти-фактор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)/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; по 0,4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(40 мг)  у попередньо наповненому шприці, №10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шприц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CC3073" w:rsidRPr="00DD669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Enoxaparin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947D41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Новопарин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розчин для ін'єкцій, 100 мг (10 000 анти-фактор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)/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; по 0,8 </w:t>
            </w:r>
            <w:proofErr w:type="spellStart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="00CC3073" w:rsidRPr="00DD6690">
              <w:rPr>
                <w:rFonts w:ascii="Times New Roman" w:hAnsi="Times New Roman" w:cs="Times New Roman"/>
                <w:sz w:val="22"/>
                <w:szCs w:val="22"/>
              </w:rPr>
              <w:t xml:space="preserve"> (80 мг)  у попередньо наповненому шприці, №2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шприц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073" w:rsidRPr="00DD6690" w:rsidRDefault="00CC3073" w:rsidP="00CC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669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</w:tbl>
    <w:p w:rsidR="008A6520" w:rsidRDefault="008A6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 як «або еквівалент».</w:t>
      </w:r>
    </w:p>
    <w:p w:rsidR="008A6520" w:rsidRDefault="00DB69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Примітка:</w:t>
      </w:r>
      <w:r>
        <w:rPr>
          <w:rFonts w:ascii="Times New Roman" w:eastAsia="Times New Roman" w:hAnsi="Times New Roman" w:cs="Times New Roman"/>
          <w:i/>
          <w:color w:val="000000"/>
        </w:rPr>
        <w:t>У разі, якщо учасник тендеру пропонує для постачання еквівалент товару, що вимагається замовником, він повинен зазначити в формі «Тендерна пропозиція» конкретне найменування товару, що пропонується для постачання та надати інформацію (довідка або гарантійний лист) в довільній формі з підтвердженням того, що запропонований товар є еквівалентом і за технічними та якісними характеристиками повністю відповідає вимогам замовника.</w:t>
      </w:r>
    </w:p>
    <w:p w:rsidR="008A6520" w:rsidRDefault="008A6520">
      <w:pPr>
        <w:pBdr>
          <w:top w:val="nil"/>
          <w:left w:val="nil"/>
          <w:bottom w:val="nil"/>
          <w:right w:val="nil"/>
          <w:between w:val="nil"/>
        </w:pBdr>
        <w:spacing w:after="20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520" w:rsidRDefault="008A6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color w:val="000000"/>
          <w:sz w:val="22"/>
          <w:szCs w:val="22"/>
        </w:rPr>
      </w:pPr>
    </w:p>
    <w:sectPr w:rsidR="008A6520" w:rsidSect="00977BBC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6520"/>
    <w:rsid w:val="000B3E90"/>
    <w:rsid w:val="002A6CD9"/>
    <w:rsid w:val="002E4BB5"/>
    <w:rsid w:val="00352098"/>
    <w:rsid w:val="004C5B97"/>
    <w:rsid w:val="0062467F"/>
    <w:rsid w:val="007C7584"/>
    <w:rsid w:val="008A6520"/>
    <w:rsid w:val="008C1136"/>
    <w:rsid w:val="00935639"/>
    <w:rsid w:val="00947D41"/>
    <w:rsid w:val="00977BBC"/>
    <w:rsid w:val="00A12817"/>
    <w:rsid w:val="00CC3073"/>
    <w:rsid w:val="00D11B73"/>
    <w:rsid w:val="00DB6919"/>
    <w:rsid w:val="00DD6690"/>
    <w:rsid w:val="00ED364C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C"/>
  </w:style>
  <w:style w:type="paragraph" w:styleId="1">
    <w:name w:val="heading 1"/>
    <w:basedOn w:val="a"/>
    <w:next w:val="a"/>
    <w:uiPriority w:val="9"/>
    <w:qFormat/>
    <w:rsid w:val="00977B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77B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77B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77B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77B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77B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7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77B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77B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7B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2023-03-10T15:13:00Z</cp:lastPrinted>
  <dcterms:created xsi:type="dcterms:W3CDTF">2023-03-05T19:09:00Z</dcterms:created>
  <dcterms:modified xsi:type="dcterms:W3CDTF">2023-03-11T17:37:00Z</dcterms:modified>
</cp:coreProperties>
</file>