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sz w:val="24"/>
          <w:szCs w:val="24"/>
        </w:rPr>
      </w:pPr>
      <w:r>
        <w:rPr>
          <w:rFonts w:cs="Times New Roman" w:ascii="Times New Roman" w:hAnsi="Times New Roman"/>
          <w:b/>
          <w:sz w:val="24"/>
          <w:szCs w:val="24"/>
        </w:rPr>
        <w:t>Виконавчий комітет Славутської міської ради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5954"/>
        <w:jc w:val="both"/>
        <w:rPr>
          <w:rFonts w:ascii="Times New Roman" w:hAnsi="Times New Roman" w:cs="Times New Roman"/>
          <w:sz w:val="24"/>
          <w:szCs w:val="24"/>
        </w:rPr>
      </w:pPr>
      <w:bookmarkStart w:id="0" w:name="_Hlk118902249"/>
      <w:r>
        <w:rPr>
          <w:rFonts w:cs="Times New Roman" w:ascii="Times New Roman" w:hAnsi="Times New Roman"/>
          <w:sz w:val="24"/>
          <w:szCs w:val="24"/>
        </w:rPr>
        <w:t>ЗАТВЕРДЖЕНО</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t xml:space="preserve">Рішення Уповноваженої особи </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t xml:space="preserve">з питань закупівель виконавчого </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t xml:space="preserve">комітету Славутської міської ради </w:t>
      </w:r>
    </w:p>
    <w:p>
      <w:pPr>
        <w:pStyle w:val="Normal"/>
        <w:ind w:firstLine="5954"/>
        <w:jc w:val="both"/>
        <w:rPr>
          <w:color w:val="auto"/>
        </w:rPr>
      </w:pPr>
      <w:bookmarkStart w:id="1" w:name="_Hlk118902249"/>
      <w:r>
        <w:rPr>
          <w:rFonts w:cs="Times New Roman" w:ascii="Times New Roman" w:hAnsi="Times New Roman"/>
          <w:color w:val="auto"/>
          <w:sz w:val="24"/>
          <w:szCs w:val="24"/>
        </w:rPr>
        <w:t xml:space="preserve">від 31.10.2023 р. </w:t>
      </w:r>
      <w:bookmarkEnd w:id="1"/>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r>
    </w:p>
    <w:p>
      <w:pPr>
        <w:pStyle w:val="Normal"/>
        <w:jc w:val="center"/>
        <w:rPr>
          <w:rFonts w:ascii="Times New Roman" w:hAnsi="Times New Roman" w:cs="Times New Roman"/>
          <w:sz w:val="24"/>
          <w:szCs w:val="24"/>
        </w:rPr>
      </w:pPr>
      <w:r>
        <w:rPr>
          <w:rFonts w:cs="Times New Roman" w:ascii="Times New Roman" w:hAnsi="Times New Roman"/>
          <w:sz w:val="24"/>
          <w:szCs w:val="24"/>
        </w:rPr>
        <w:tab/>
        <w:tab/>
        <w:tab/>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72"/>
          <w:szCs w:val="72"/>
        </w:rPr>
      </w:pPr>
      <w:r>
        <w:rPr>
          <w:rFonts w:cs="Times New Roman" w:ascii="Times New Roman" w:hAnsi="Times New Roman"/>
          <w:b/>
          <w:sz w:val="72"/>
          <w:szCs w:val="72"/>
        </w:rPr>
        <w:t xml:space="preserve">тендерна документація </w:t>
      </w:r>
    </w:p>
    <w:p>
      <w:pPr>
        <w:pStyle w:val="Normal"/>
        <w:jc w:val="center"/>
        <w:rPr>
          <w:rFonts w:ascii="Times New Roman" w:hAnsi="Times New Roman" w:cs="Times New Roman"/>
          <w:b/>
          <w:b/>
          <w:sz w:val="40"/>
          <w:szCs w:val="40"/>
        </w:rPr>
      </w:pPr>
      <w:r>
        <w:rPr>
          <w:rFonts w:cs="Times New Roman" w:ascii="Times New Roman" w:hAnsi="Times New Roman"/>
          <w:b/>
          <w:sz w:val="40"/>
          <w:szCs w:val="40"/>
        </w:rPr>
        <w:t>по процедурі ВІДКРИТІ ТОРГИ (з особливостями)</w:t>
      </w:r>
    </w:p>
    <w:p>
      <w:pPr>
        <w:pStyle w:val="Normal"/>
        <w:jc w:val="center"/>
        <w:rPr>
          <w:rFonts w:ascii="Times New Roman" w:hAnsi="Times New Roman" w:cs="Times New Roman"/>
          <w:b/>
          <w:b/>
          <w:sz w:val="40"/>
          <w:szCs w:val="40"/>
        </w:rPr>
      </w:pPr>
      <w:r>
        <w:rPr>
          <w:rFonts w:cs="Times New Roman" w:ascii="Times New Roman" w:hAnsi="Times New Roman"/>
          <w:b/>
          <w:sz w:val="40"/>
          <w:szCs w:val="40"/>
        </w:rPr>
        <w:t>на закупівлю робіт</w:t>
      </w:r>
    </w:p>
    <w:p>
      <w:pPr>
        <w:pStyle w:val="Normal"/>
        <w:jc w:val="center"/>
        <w:rPr>
          <w:rFonts w:ascii="Times New Roman" w:hAnsi="Times New Roman" w:cs="Times New Roman"/>
          <w:b/>
          <w:b/>
          <w:sz w:val="40"/>
          <w:szCs w:val="40"/>
        </w:rPr>
      </w:pPr>
      <w:r>
        <w:rPr>
          <w:rFonts w:cs="Times New Roman" w:ascii="Times New Roman" w:hAnsi="Times New Roman"/>
          <w:b/>
          <w:sz w:val="40"/>
          <w:szCs w:val="40"/>
        </w:rPr>
      </w:r>
    </w:p>
    <w:p>
      <w:pPr>
        <w:pStyle w:val="Normal"/>
        <w:keepLines/>
        <w:jc w:val="center"/>
        <w:rPr/>
      </w:pPr>
      <w:r>
        <w:rPr>
          <w:rFonts w:cs="Times New Roman" w:ascii="Times New Roman" w:hAnsi="Times New Roman"/>
          <w:b/>
          <w:color w:val="000000"/>
          <w:sz w:val="56"/>
          <w:szCs w:val="56"/>
        </w:rPr>
        <w:t xml:space="preserve">Лікарський засіб «Калію йодид» </w:t>
      </w:r>
    </w:p>
    <w:p>
      <w:pPr>
        <w:pStyle w:val="Rvps2"/>
        <w:shd w:val="clear" w:color="auto" w:fill="FFFFFF"/>
        <w:spacing w:before="280" w:after="280"/>
        <w:ind w:firstLine="540"/>
        <w:jc w:val="center"/>
        <w:textAlignment w:val="baseline"/>
        <w:rPr>
          <w:rFonts w:ascii="Times New Roman" w:hAnsi="Times New Roman"/>
          <w:sz w:val="24"/>
          <w:szCs w:val="24"/>
        </w:rPr>
      </w:pPr>
      <w:r>
        <w:rPr>
          <w:b w:val="false"/>
          <w:i w:val="false"/>
          <w:caps w:val="false"/>
          <w:smallCaps w:val="false"/>
          <w:color w:val="454545"/>
          <w:spacing w:val="0"/>
          <w:sz w:val="24"/>
          <w:szCs w:val="24"/>
        </w:rPr>
        <w:t>ДК 021:2015:</w:t>
      </w:r>
      <w:r>
        <w:rPr>
          <w:sz w:val="24"/>
          <w:szCs w:val="24"/>
        </w:rPr>
        <w:t xml:space="preserve"> 33600000-6 </w:t>
      </w:r>
      <w:r>
        <w:rPr>
          <w:b w:val="false"/>
          <w:i w:val="false"/>
          <w:caps w:val="false"/>
          <w:smallCaps w:val="false"/>
          <w:color w:val="333333"/>
          <w:spacing w:val="0"/>
          <w:sz w:val="24"/>
          <w:szCs w:val="24"/>
        </w:rPr>
        <w:t>Фармацевтична продукція</w:t>
      </w:r>
      <w:r>
        <w:rPr>
          <w:color w:val="C9211E"/>
          <w:sz w:val="24"/>
          <w:szCs w:val="24"/>
        </w:rPr>
        <w:t xml:space="preserve"> </w:t>
      </w:r>
    </w:p>
    <w:p>
      <w:pPr>
        <w:pStyle w:val="HTMLPreformatted"/>
        <w:shd w:val="clear" w:color="auto" w:fill="FFFFFF"/>
        <w:jc w:val="center"/>
        <w:textAlignment w:val="baseline"/>
        <w:rPr>
          <w:rFonts w:ascii="Times New Roman" w:hAnsi="Times New Roman" w:cs="Times New Roman"/>
          <w:b/>
          <w:b/>
          <w:sz w:val="24"/>
          <w:szCs w:val="24"/>
        </w:rPr>
      </w:pPr>
      <w:r>
        <w:rPr>
          <w:rFonts w:cs="Times New Roman" w:ascii="Times New Roman" w:hAnsi="Times New Roman"/>
          <w:b w:val="false"/>
          <w:i w:val="false"/>
          <w:caps w:val="false"/>
          <w:smallCaps w:val="false"/>
          <w:color w:val="454545"/>
          <w:spacing w:val="0"/>
          <w:sz w:val="24"/>
          <w:szCs w:val="24"/>
        </w:rPr>
        <w:t>МНН: Potassium iodide</w:t>
      </w:r>
      <w:r>
        <w:rPr>
          <w:rFonts w:cs="Times New Roman" w:ascii="Times New Roman" w:hAnsi="Times New Roman"/>
          <w:b/>
          <w:sz w:val="24"/>
          <w:szCs w:val="24"/>
        </w:rPr>
        <w:t xml:space="preserve"> </w:t>
      </w:r>
    </w:p>
    <w:p>
      <w:pPr>
        <w:pStyle w:val="HTMLPreformatted"/>
        <w:widowControl w:val="false"/>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781" w:leader="none"/>
        </w:tabs>
        <w:spacing w:lineRule="auto" w:line="216"/>
        <w:ind w:right="245" w:hanging="0"/>
        <w:jc w:val="center"/>
        <w:textAlignment w:val="baseline"/>
        <w:rPr>
          <w:rFonts w:ascii="Times New Roman" w:hAnsi="Times New Roman" w:eastAsia="Calibri" w:cs="Times New Roman"/>
          <w:color w:val="auto"/>
          <w:sz w:val="40"/>
          <w:szCs w:val="24"/>
          <w:lang w:eastAsia="uk-UA"/>
        </w:rPr>
      </w:pPr>
      <w:r>
        <w:rPr>
          <w:rFonts w:eastAsia="Calibri" w:cs="Times New Roman" w:ascii="Times New Roman" w:hAnsi="Times New Roman"/>
          <w:color w:val="auto"/>
          <w:sz w:val="40"/>
          <w:szCs w:val="24"/>
          <w:lang w:eastAsia="uk-UA"/>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left="-1418" w:hanging="0"/>
        <w:jc w:val="center"/>
        <w:rPr>
          <w:rFonts w:ascii="Times New Roman" w:hAnsi="Times New Roman" w:cs="Times New Roman"/>
          <w:sz w:val="24"/>
          <w:szCs w:val="24"/>
        </w:rPr>
      </w:pPr>
      <w:r>
        <w:rPr>
          <w:rFonts w:eastAsia="Times New Roman" w:cs="Times New Roman" w:ascii="Times New Roman" w:hAnsi="Times New Roman"/>
          <w:b/>
          <w:i/>
          <w:color w:val="000000"/>
          <w:sz w:val="24"/>
          <w:szCs w:val="24"/>
          <w:highlight w:val="white"/>
          <w:shd w:fill="FFFFFF" w:val="clear"/>
        </w:rPr>
        <w:t>м. Славута Хмельницької обл.  2023р.</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59"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4"/>
        <w:gridCol w:w="2800"/>
        <w:gridCol w:w="6455"/>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Інформація про замовника торгів</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повне найменування</w:t>
            </w:r>
          </w:p>
        </w:tc>
        <w:tc>
          <w:tcPr>
            <w:tcW w:w="6455" w:type="dxa"/>
            <w:tcBorders>
              <w:top w:val="single" w:sz="4" w:space="0" w:color="000000"/>
              <w:left w:val="single" w:sz="4" w:space="0" w:color="000000"/>
              <w:bottom w:val="single" w:sz="4" w:space="0" w:color="000000"/>
              <w:right w:val="single" w:sz="4" w:space="0" w:color="000000"/>
            </w:tcBorders>
          </w:tcPr>
          <w:p>
            <w:pPr>
              <w:pStyle w:val="Style19"/>
              <w:widowControl w:val="false"/>
              <w:jc w:val="both"/>
              <w:rPr>
                <w:rFonts w:eastAsia="Times New Roman" w:cs="Times New Roman"/>
                <w:i/>
                <w:i/>
              </w:rPr>
            </w:pPr>
            <w:r>
              <w:rPr>
                <w:rFonts w:eastAsia="Times New Roman" w:cs="Times New Roman"/>
                <w:i/>
                <w:color w:val="000000"/>
              </w:rPr>
              <w:t xml:space="preserve">Виконавчий комітет Славутської  міської ради </w:t>
            </w:r>
          </w:p>
        </w:tc>
      </w:tr>
      <w:tr>
        <w:trPr>
          <w:trHeight w:val="51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місцезнаходження</w:t>
            </w:r>
          </w:p>
        </w:tc>
        <w:tc>
          <w:tcPr>
            <w:tcW w:w="64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sz w:val="24"/>
                <w:szCs w:val="24"/>
                <w:lang w:val="uk-UA"/>
              </w:rPr>
              <w:t>30000 Хмельницька обл, м. Славута, вул. Соборності, 7</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color w:val="auto"/>
              </w:rPr>
            </w:pPr>
            <w:r>
              <w:rPr>
                <w:u w:val="single"/>
              </w:rPr>
              <w:t>З питань</w:t>
            </w:r>
            <w:r>
              <w:rPr/>
              <w:t xml:space="preserve"> щодо процедури закупівлі:</w:t>
            </w:r>
          </w:p>
          <w:p>
            <w:pPr>
              <w:pStyle w:val="LOnormal"/>
              <w:widowControl w:val="false"/>
              <w:spacing w:lineRule="auto" w:line="240"/>
              <w:jc w:val="both"/>
              <w:rPr>
                <w:color w:val="auto"/>
              </w:rPr>
            </w:pPr>
            <w:r>
              <w:rPr>
                <w:rFonts w:cs="Times New Roman" w:ascii="Times New Roman" w:hAnsi="Times New Roman"/>
                <w:sz w:val="24"/>
                <w:szCs w:val="24"/>
                <w:lang w:val="uk-UA"/>
              </w:rPr>
              <w:t>Тетяна Новак – уповноважена особа з питань закупівель,</w:t>
            </w:r>
          </w:p>
          <w:p>
            <w:pPr>
              <w:pStyle w:val="LOnormal"/>
              <w:widowControl w:val="false"/>
              <w:spacing w:lineRule="auto" w:line="240"/>
              <w:jc w:val="both"/>
              <w:rPr>
                <w:color w:val="auto"/>
              </w:rPr>
            </w:pPr>
            <w:r>
              <w:rPr>
                <w:rFonts w:eastAsia="Times New Roman" w:cs="Times New Roman" w:ascii="Times New Roman" w:hAnsi="Times New Roman"/>
                <w:i/>
                <w:sz w:val="24"/>
                <w:szCs w:val="24"/>
                <w:lang w:val="uk-UA"/>
              </w:rPr>
              <w:t xml:space="preserve">тел. 097-771-30-92. Еmail: </w:t>
            </w:r>
            <w:hyperlink r:id="rId2">
              <w:r>
                <w:rPr>
                  <w:rFonts w:eastAsia="Times New Roman" w:cs="Times New Roman" w:ascii="Times New Roman" w:hAnsi="Times New Roman"/>
                  <w:i/>
                  <w:sz w:val="24"/>
                  <w:szCs w:val="24"/>
                  <w:lang w:val="uk-UA"/>
                </w:rPr>
                <w:t>sl_nova@ukr.net</w:t>
              </w:r>
            </w:hyperlink>
            <w:r>
              <w:rPr>
                <w:rFonts w:eastAsia="Times New Roman" w:cs="Times New Roman" w:ascii="Times New Roman" w:hAnsi="Times New Roman"/>
                <w:i/>
                <w:sz w:val="24"/>
                <w:szCs w:val="24"/>
                <w:lang w:val="uk-UA"/>
              </w:rPr>
              <w:t xml:space="preserve"> </w:t>
            </w:r>
          </w:p>
          <w:p>
            <w:pPr>
              <w:pStyle w:val="LOnormal"/>
              <w:widowControl w:val="false"/>
              <w:spacing w:lineRule="auto" w:line="240"/>
              <w:jc w:val="both"/>
              <w:rPr>
                <w:color w:val="auto"/>
              </w:rPr>
            </w:pPr>
            <w:r>
              <w:rPr>
                <w:color w:val="auto"/>
              </w:rPr>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назва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ind w:right="113" w:hanging="0"/>
              <w:jc w:val="left"/>
              <w:rPr>
                <w:sz w:val="24"/>
                <w:szCs w:val="24"/>
              </w:rPr>
            </w:pPr>
            <w:r>
              <w:rPr>
                <w:rFonts w:eastAsia="Times New Roman" w:cs="Times New Roman" w:ascii="Times New Roman" w:hAnsi="Times New Roman"/>
                <w:b/>
                <w:color w:val="000000"/>
                <w:sz w:val="24"/>
                <w:szCs w:val="24"/>
              </w:rPr>
              <w:t xml:space="preserve">Лікарський засіб «Калію йодид» </w:t>
            </w:r>
          </w:p>
          <w:p>
            <w:pPr>
              <w:pStyle w:val="Rvps2"/>
              <w:widowControl w:val="false"/>
              <w:shd w:val="clear" w:color="auto" w:fill="FFFFFF"/>
              <w:spacing w:before="0" w:after="0"/>
              <w:ind w:right="113" w:hanging="0"/>
              <w:jc w:val="both"/>
              <w:textAlignment w:val="baseline"/>
              <w:rPr>
                <w:rFonts w:ascii="Times New Roman" w:hAnsi="Times New Roman"/>
                <w:i w:val="false"/>
                <w:i w:val="false"/>
                <w:iCs w:val="false"/>
                <w:color w:val="auto"/>
              </w:rPr>
            </w:pPr>
            <w:r>
              <w:rPr>
                <w:i w:val="false"/>
                <w:iCs w:val="false"/>
                <w:color w:val="auto"/>
                <w:lang w:eastAsia="ru-RU"/>
              </w:rPr>
              <w:t xml:space="preserve">код за </w:t>
            </w:r>
            <w:r>
              <w:rPr>
                <w:b w:val="false"/>
                <w:i w:val="false"/>
                <w:iCs w:val="false"/>
                <w:caps w:val="false"/>
                <w:smallCaps w:val="false"/>
                <w:color w:val="auto"/>
                <w:spacing w:val="0"/>
                <w:sz w:val="24"/>
                <w:szCs w:val="24"/>
                <w:lang w:eastAsia="ru-RU"/>
              </w:rPr>
              <w:t>ДК 021:2015:</w:t>
            </w:r>
            <w:r>
              <w:rPr>
                <w:i w:val="false"/>
                <w:iCs w:val="false"/>
                <w:color w:val="auto"/>
                <w:sz w:val="24"/>
                <w:szCs w:val="24"/>
                <w:lang w:eastAsia="ru-RU"/>
              </w:rPr>
              <w:t xml:space="preserve"> 33600000-6 </w:t>
            </w:r>
            <w:r>
              <w:rPr>
                <w:b w:val="false"/>
                <w:i w:val="false"/>
                <w:iCs w:val="false"/>
                <w:caps w:val="false"/>
                <w:smallCaps w:val="false"/>
                <w:color w:val="auto"/>
                <w:spacing w:val="0"/>
                <w:sz w:val="24"/>
                <w:szCs w:val="24"/>
                <w:lang w:eastAsia="ru-RU"/>
              </w:rPr>
              <w:t>Фармацевтична продукція</w:t>
            </w:r>
            <w:r>
              <w:rPr>
                <w:i w:val="false"/>
                <w:iCs w:val="false"/>
                <w:color w:val="auto"/>
                <w:sz w:val="24"/>
                <w:szCs w:val="24"/>
                <w:lang w:eastAsia="ru-RU"/>
              </w:rPr>
              <w:t xml:space="preserve"> </w:t>
            </w:r>
          </w:p>
          <w:p>
            <w:pPr>
              <w:pStyle w:val="Rvps2"/>
              <w:widowControl w:val="false"/>
              <w:shd w:val="clear" w:color="auto" w:fill="FFFFFF"/>
              <w:spacing w:before="0" w:after="0"/>
              <w:ind w:right="113" w:hanging="0"/>
              <w:jc w:val="both"/>
              <w:textAlignment w:val="baseline"/>
              <w:rPr>
                <w:rFonts w:ascii="Times New Roman" w:hAnsi="Times New Roman" w:cs="Times New Roman"/>
                <w:b/>
                <w:b/>
                <w:i w:val="false"/>
                <w:i w:val="false"/>
                <w:iCs w:val="false"/>
                <w:color w:val="auto"/>
                <w:sz w:val="24"/>
                <w:szCs w:val="24"/>
              </w:rPr>
            </w:pPr>
            <w:r>
              <w:rPr>
                <w:rFonts w:cs="Times New Roman"/>
                <w:b w:val="false"/>
                <w:i w:val="false"/>
                <w:iCs w:val="false"/>
                <w:caps w:val="false"/>
                <w:smallCaps w:val="false"/>
                <w:color w:val="auto"/>
                <w:spacing w:val="0"/>
                <w:sz w:val="24"/>
                <w:szCs w:val="24"/>
                <w:lang w:eastAsia="ru-RU"/>
              </w:rPr>
              <w:t>МНН: Potassium iodide</w:t>
            </w:r>
            <w:r>
              <w:rPr>
                <w:rFonts w:cs="Times New Roman"/>
                <w:b/>
                <w:i w:val="false"/>
                <w:iCs w:val="false"/>
                <w:caps w:val="false"/>
                <w:smallCaps w:val="false"/>
                <w:color w:val="auto"/>
                <w:spacing w:val="0"/>
                <w:sz w:val="24"/>
                <w:szCs w:val="24"/>
                <w:lang w:eastAsia="ru-RU"/>
              </w:rPr>
              <w:t>.</w:t>
            </w:r>
          </w:p>
        </w:tc>
      </w:tr>
      <w:tr>
        <w:trPr/>
        <w:tc>
          <w:tcPr>
            <w:tcW w:w="704" w:type="dxa"/>
            <w:tcBorders>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4.2.</w:t>
            </w:r>
          </w:p>
        </w:tc>
        <w:tc>
          <w:tcPr>
            <w:tcW w:w="280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val="false"/>
                <w:b w:val="false"/>
                <w:bCs w:val="false"/>
                <w:color w:val="000000"/>
                <w:kern w:val="0"/>
                <w:sz w:val="20"/>
                <w:szCs w:val="20"/>
                <w:lang w:val="uk-UA" w:eastAsia="zh-CN" w:bidi="hi-IN"/>
              </w:rPr>
            </w:pPr>
            <w:r>
              <w:rPr>
                <w:rFonts w:eastAsia="Times New Roman" w:cs="Times New Roman" w:ascii="Times New Roman" w:hAnsi="Times New Roman"/>
                <w:b w:val="false"/>
                <w:bCs w:val="false"/>
                <w:color w:val="000000"/>
                <w:kern w:val="0"/>
                <w:sz w:val="20"/>
                <w:szCs w:val="20"/>
                <w:lang w:val="uk-UA" w:eastAsia="zh-CN" w:bidi="hi-IN"/>
              </w:rPr>
              <w:t>інформація про технічні, якісні та кількісні характеристики предмета закупівлі</w:t>
            </w:r>
          </w:p>
        </w:tc>
        <w:tc>
          <w:tcPr>
            <w:tcW w:w="6455" w:type="dxa"/>
            <w:tcBorders>
              <w:left w:val="single" w:sz="4" w:space="0" w:color="000000"/>
              <w:bottom w:val="single" w:sz="4" w:space="0" w:color="000000"/>
              <w:right w:val="single" w:sz="4" w:space="0" w:color="000000"/>
            </w:tcBorders>
          </w:tcPr>
          <w:p>
            <w:pPr>
              <w:pStyle w:val="Rvps2"/>
              <w:widowControl w:val="false"/>
              <w:shd w:val="clear" w:color="auto" w:fill="FFFFFF"/>
              <w:spacing w:before="0" w:after="0"/>
              <w:ind w:right="113" w:hanging="0"/>
              <w:jc w:val="both"/>
              <w:textAlignment w:val="baseline"/>
              <w:rPr>
                <w:rFonts w:ascii="Times New Roman" w:hAnsi="Times New Roman" w:cs="Times New Roman"/>
                <w:b w:val="false"/>
                <w:b w:val="false"/>
                <w:bCs w:val="false"/>
                <w:i w:val="false"/>
                <w:i w:val="false"/>
                <w:iCs w:val="false"/>
                <w:color w:val="auto"/>
                <w:sz w:val="24"/>
                <w:szCs w:val="24"/>
              </w:rPr>
            </w:pPr>
            <w:r>
              <w:rPr>
                <w:rFonts w:eastAsia="Times New Roman" w:cs="Times New Roman"/>
                <w:b w:val="false"/>
                <w:bCs w:val="false"/>
                <w:i w:val="false"/>
                <w:iCs w:val="false"/>
                <w:color w:val="auto"/>
                <w:sz w:val="24"/>
                <w:szCs w:val="24"/>
                <w:lang w:eastAsia="ru-RU"/>
              </w:rPr>
              <w:t>Предметом закупівлі є ліка</w:t>
            </w:r>
            <w:r>
              <w:rPr>
                <w:rFonts w:eastAsia="Times New Roman" w:cs="Times New Roman"/>
                <w:b w:val="false"/>
                <w:bCs w:val="false"/>
                <w:i w:val="false"/>
                <w:iCs w:val="false"/>
                <w:color w:val="000000"/>
                <w:sz w:val="24"/>
                <w:szCs w:val="24"/>
                <w:lang w:eastAsia="ru-RU"/>
              </w:rPr>
              <w:t xml:space="preserve">рський засіб </w:t>
            </w:r>
            <w:r>
              <w:rPr>
                <w:rFonts w:eastAsia="Times New Roman" w:cs="Times New Roman"/>
                <w:b/>
                <w:bCs/>
                <w:i w:val="false"/>
                <w:iCs w:val="false"/>
                <w:color w:val="000000"/>
                <w:sz w:val="24"/>
                <w:szCs w:val="24"/>
                <w:lang w:eastAsia="ru-RU"/>
              </w:rPr>
              <w:t>«Калію йодид» у таблетках по 0,25 г №10.</w:t>
            </w:r>
          </w:p>
          <w:p>
            <w:pPr>
              <w:pStyle w:val="Rvps2"/>
              <w:widowControl w:val="false"/>
              <w:shd w:val="clear" w:color="auto" w:fill="FFFFFF"/>
              <w:spacing w:before="0" w:after="0"/>
              <w:ind w:right="113" w:hanging="0"/>
              <w:jc w:val="both"/>
              <w:textAlignment w:val="baseline"/>
              <w:rPr>
                <w:rFonts w:ascii="Times New Roman" w:hAnsi="Times New Roman" w:cs="Times New Roman"/>
                <w:b w:val="false"/>
                <w:b w:val="false"/>
                <w:bCs w:val="false"/>
                <w:i w:val="false"/>
                <w:i w:val="false"/>
                <w:iCs w:val="false"/>
                <w:color w:val="auto"/>
                <w:sz w:val="24"/>
                <w:szCs w:val="24"/>
              </w:rPr>
            </w:pPr>
            <w:r>
              <w:rPr>
                <w:rFonts w:eastAsia="Times New Roman" w:cs="Times New Roman"/>
                <w:b w:val="false"/>
                <w:bCs w:val="false"/>
                <w:i w:val="false"/>
                <w:iCs w:val="false"/>
                <w:color w:val="000000"/>
                <w:sz w:val="24"/>
                <w:szCs w:val="24"/>
                <w:lang w:eastAsia="ru-RU"/>
              </w:rPr>
              <w:t xml:space="preserve">Необхідна кількість — </w:t>
            </w:r>
            <w:r>
              <w:rPr>
                <w:rFonts w:eastAsia="Times New Roman" w:cs="Times New Roman"/>
                <w:b/>
                <w:bCs/>
                <w:i w:val="false"/>
                <w:iCs w:val="false"/>
                <w:color w:val="000000"/>
                <w:sz w:val="24"/>
                <w:szCs w:val="24"/>
                <w:lang w:eastAsia="ru-RU"/>
              </w:rPr>
              <w:t>3 337 блістерів / стрипів</w:t>
            </w:r>
          </w:p>
          <w:p>
            <w:pPr>
              <w:pStyle w:val="Rvps2"/>
              <w:widowControl w:val="false"/>
              <w:shd w:val="clear" w:color="auto" w:fill="FFFFFF"/>
              <w:spacing w:before="0" w:after="0"/>
              <w:ind w:right="113" w:hanging="0"/>
              <w:jc w:val="both"/>
              <w:textAlignment w:val="baseline"/>
              <w:rPr>
                <w:rFonts w:ascii="Times New Roman" w:hAnsi="Times New Roman" w:cs="Times New Roman"/>
                <w:b w:val="false"/>
                <w:b w:val="false"/>
                <w:bCs w:val="false"/>
                <w:i w:val="false"/>
                <w:i w:val="false"/>
                <w:iCs w:val="false"/>
                <w:color w:val="auto"/>
                <w:sz w:val="24"/>
                <w:szCs w:val="24"/>
              </w:rPr>
            </w:pPr>
            <w:r>
              <w:rPr>
                <w:rFonts w:eastAsia="Times New Roman" w:cs="Times New Roman"/>
                <w:b w:val="false"/>
                <w:bCs w:val="false"/>
                <w:i w:val="false"/>
                <w:iCs w:val="false"/>
                <w:color w:val="000000"/>
                <w:sz w:val="24"/>
                <w:szCs w:val="24"/>
                <w:lang w:eastAsia="ru-RU"/>
              </w:rPr>
              <w:t>Лікарський засіб має бути належно зареєстрований в Україні.</w:t>
            </w:r>
          </w:p>
          <w:p>
            <w:pPr>
              <w:pStyle w:val="Rvps2"/>
              <w:widowControl w:val="false"/>
              <w:shd w:val="clear" w:color="auto" w:fill="FFFFFF"/>
              <w:spacing w:before="0" w:after="0"/>
              <w:ind w:right="113" w:hanging="0"/>
              <w:jc w:val="both"/>
              <w:textAlignment w:val="baseline"/>
              <w:rPr>
                <w:rFonts w:ascii="Times New Roman" w:hAnsi="Times New Roman" w:cs="Times New Roman"/>
                <w:b w:val="false"/>
                <w:b w:val="false"/>
                <w:bCs w:val="false"/>
                <w:i w:val="false"/>
                <w:i w:val="false"/>
                <w:iCs w:val="false"/>
                <w:color w:val="auto"/>
                <w:sz w:val="24"/>
                <w:szCs w:val="24"/>
              </w:rPr>
            </w:pPr>
            <w:r>
              <w:rPr>
                <w:rFonts w:eastAsia="Times New Roman" w:cs="Times New Roman"/>
                <w:b w:val="false"/>
                <w:bCs w:val="false"/>
                <w:i w:val="false"/>
                <w:iCs w:val="false"/>
                <w:color w:val="000000"/>
                <w:sz w:val="24"/>
                <w:szCs w:val="24"/>
                <w:lang w:eastAsia="ru-RU"/>
              </w:rPr>
              <w:t xml:space="preserve">Термін придатності — </w:t>
            </w:r>
            <w:r>
              <w:rPr>
                <w:rFonts w:eastAsia="Times New Roman" w:cs="Times New Roman"/>
                <w:b/>
                <w:bCs/>
                <w:i w:val="false"/>
                <w:iCs w:val="false"/>
                <w:color w:val="000000"/>
                <w:sz w:val="24"/>
                <w:szCs w:val="24"/>
                <w:lang w:eastAsia="ru-RU"/>
              </w:rPr>
              <w:t>4 (чотири) роки.</w:t>
            </w:r>
          </w:p>
          <w:p>
            <w:pPr>
              <w:pStyle w:val="Rvps2"/>
              <w:widowControl w:val="false"/>
              <w:shd w:val="clear" w:color="auto" w:fill="FFFFFF"/>
              <w:spacing w:before="0" w:after="0"/>
              <w:ind w:right="113" w:hanging="0"/>
              <w:jc w:val="both"/>
              <w:textAlignment w:val="baseline"/>
              <w:rPr>
                <w:rFonts w:ascii="Times New Roman" w:hAnsi="Times New Roman" w:cs="Times New Roman"/>
                <w:b w:val="false"/>
                <w:b w:val="false"/>
                <w:bCs w:val="false"/>
                <w:i w:val="false"/>
                <w:i w:val="false"/>
                <w:iCs w:val="false"/>
                <w:color w:val="auto"/>
                <w:sz w:val="24"/>
                <w:szCs w:val="24"/>
              </w:rPr>
            </w:pPr>
            <w:r>
              <w:rPr>
                <w:rFonts w:eastAsia="Times New Roman" w:cs="Times New Roman"/>
                <w:b w:val="false"/>
                <w:bCs w:val="false"/>
                <w:i w:val="false"/>
                <w:iCs w:val="false"/>
                <w:color w:val="000000"/>
                <w:sz w:val="24"/>
                <w:szCs w:val="24"/>
                <w:lang w:eastAsia="ru-RU"/>
              </w:rPr>
              <w:t xml:space="preserve">Дата випуску лікарського засобу </w:t>
            </w:r>
            <w:r>
              <w:rPr>
                <w:rFonts w:eastAsia="Times New Roman" w:cs="Times New Roman"/>
                <w:b/>
                <w:bCs/>
                <w:i w:val="false"/>
                <w:iCs w:val="false"/>
                <w:color w:val="000000"/>
                <w:sz w:val="24"/>
                <w:szCs w:val="24"/>
                <w:lang w:eastAsia="ru-RU"/>
              </w:rPr>
              <w:t>не раніше травня 2023 року.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70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Місце поставки товару</w:t>
            </w:r>
          </w:p>
        </w:tc>
        <w:tc>
          <w:tcPr>
            <w:tcW w:w="6455" w:type="dxa"/>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before="0" w:after="0"/>
              <w:jc w:val="both"/>
              <w:textAlignment w:val="baseline"/>
              <w:rPr/>
            </w:pPr>
            <w:r>
              <w:rPr>
                <w:b/>
                <w:bCs/>
              </w:rPr>
              <w:t xml:space="preserve">Місце поставки товару:  </w:t>
            </w:r>
          </w:p>
          <w:p>
            <w:pPr>
              <w:pStyle w:val="Rvps2"/>
              <w:widowControl w:val="false"/>
              <w:shd w:val="clear" w:color="auto" w:fill="FFFFFF"/>
              <w:spacing w:before="0" w:after="0"/>
              <w:jc w:val="both"/>
              <w:textAlignment w:val="baseline"/>
              <w:rPr/>
            </w:pPr>
            <w:r>
              <w:rPr/>
              <w:t xml:space="preserve">вул. Соборності </w:t>
            </w:r>
            <w:r>
              <w:rPr/>
              <w:t>7</w:t>
            </w:r>
            <w:r>
              <w:rPr/>
              <w:t xml:space="preserve">, м.Славута, Хмельницька обл. </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строки поставки товарів, виконання робіт, надання послуг</w:t>
            </w:r>
          </w:p>
        </w:tc>
        <w:tc>
          <w:tcPr>
            <w:tcW w:w="6455"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pPr>
            <w:r>
              <w:rPr>
                <w:b/>
                <w:lang w:val="ru-RU"/>
              </w:rPr>
              <w:t xml:space="preserve">Термін поставки — протягом </w:t>
            </w:r>
            <w:r>
              <w:rPr>
                <w:b/>
                <w:lang w:val="uk-UA"/>
              </w:rPr>
              <w:t>10-ти робочих днів з дня укладення договору</w:t>
            </w:r>
            <w:r>
              <w:rPr>
                <w:b/>
                <w:lang w:val="ru-RU"/>
              </w:rPr>
              <w:t>.</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Недискримінація учасників</w:t>
            </w:r>
            <w:r>
              <w:rPr>
                <w:rFonts w:eastAsia="Times New Roman" w:cs="Times New Roman" w:ascii="Times New Roman" w:hAnsi="Times New Roman"/>
                <w:sz w:val="20"/>
                <w:szCs w:val="20"/>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Учасники (резиденти та нерезиденти)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Валюта, у якій повинна бути зазначена ціна тендерної пропозиції</w:t>
            </w:r>
            <w:r>
              <w:rPr>
                <w:rFonts w:eastAsia="Times New Roman" w:cs="Times New Roman" w:ascii="Times New Roman" w:hAnsi="Times New Roman"/>
                <w:sz w:val="20"/>
                <w:szCs w:val="20"/>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Мова (мови), якою  (якими) повинні бути  складені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sz w:val="20"/>
                <w:szCs w:val="20"/>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sz w:val="20"/>
                <w:szCs w:val="20"/>
              </w:rPr>
              <w:t>Процедура надання роз’яснень щодо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Внесення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b/>
                <w:color w:val="000000"/>
                <w:sz w:val="20"/>
                <w:szCs w:val="20"/>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Зміст і спосіб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00000"/>
              </w:rPr>
              <w:instrText xml:space="preserve"> HYPERLINK "https://zakon.rada.gov.ua/laws/show/922-19" \l "n1261"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highlight w:val="white"/>
              </w:rPr>
              <w:t>пункті 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 xml:space="preserve">Перелік документів, які повинна містити тендерна пропозиція учасника наведені у </w:t>
            </w:r>
            <w:r>
              <w:rPr>
                <w:rFonts w:eastAsia="Times New Roman" w:cs="Times New Roman" w:ascii="Times New Roman" w:hAnsi="Times New Roman"/>
                <w:b/>
                <w:bCs/>
                <w:color w:val="000000"/>
                <w:sz w:val="24"/>
                <w:szCs w:val="24"/>
              </w:rPr>
              <w:t>Додатку 1</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 xml:space="preserve">Рекомендується документи у складі пропозиції Учасника надавати у тій послідовності, у якій вони наведені  у </w:t>
            </w:r>
            <w:r>
              <w:rPr>
                <w:rFonts w:eastAsia="Times New Roman" w:cs="Times New Roman" w:ascii="Times New Roman" w:hAnsi="Times New Roman"/>
                <w:b/>
                <w:bCs/>
                <w:color w:val="000000"/>
                <w:sz w:val="24"/>
                <w:szCs w:val="24"/>
              </w:rPr>
              <w:t>Додатку 1.</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both"/>
              <w:rPr/>
            </w:pPr>
            <w:r>
              <w:rPr>
                <w:rFonts w:eastAsia="Times New Roman" w:cs="Times New Roman" w:ascii="Times New Roman" w:hAnsi="Times New Roman"/>
                <w:i/>
                <w:color w:val="000000"/>
                <w:sz w:val="24"/>
                <w:szCs w:val="24"/>
              </w:rPr>
              <w:t xml:space="preserve">Переможець процедури закупівлі у строк, що не перевищує </w:t>
            </w:r>
            <w:r>
              <w:rPr>
                <w:rFonts w:eastAsia="Times New Roman" w:cs="Times New Roman"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color w:val="000000"/>
                <w:sz w:val="24"/>
                <w:szCs w:val="24"/>
              </w:rPr>
              <w:t xml:space="preserve">, повинен надати замовнику шляхом оприлюднення в електронній системі закупівель документи, встановлені в </w:t>
            </w:r>
            <w:r>
              <w:rPr>
                <w:rFonts w:eastAsia="Times New Roman" w:cs="Times New Roman" w:ascii="Times New Roman" w:hAnsi="Times New Roman"/>
                <w:b/>
                <w:bCs/>
                <w:i/>
                <w:iCs/>
                <w:color w:val="000000"/>
                <w:sz w:val="24"/>
                <w:szCs w:val="24"/>
              </w:rPr>
              <w:t>Додатку 1 (для переможця)</w:t>
            </w:r>
            <w:r>
              <w:rPr>
                <w:rFonts w:eastAsia="Times New Roman" w:cs="Times New Roman" w:ascii="Times New Roman" w:hAnsi="Times New Roman"/>
                <w:i/>
                <w:color w:val="000000"/>
                <w:sz w:val="24"/>
                <w:szCs w:val="24"/>
              </w:rPr>
              <w:t>.</w:t>
            </w:r>
          </w:p>
          <w:p>
            <w:pPr>
              <w:pStyle w:val="Normal"/>
              <w:widowControl w:val="false"/>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widowControl w:val="false"/>
              <w:jc w:val="both"/>
              <w:rPr/>
            </w:pPr>
            <w:r>
              <w:rPr>
                <w:rFonts w:eastAsia="Times New Roman" w:cs="Times New Roman" w:ascii="Times New Roman" w:hAnsi="Times New Roman"/>
                <w:color w:val="000000"/>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both"/>
              <w:rPr/>
            </w:pPr>
            <w:r>
              <w:rPr>
                <w:rFonts w:eastAsia="Times New Roman" w:cs="Times New Roman" w:ascii="Times New Roman" w:hAnsi="Times New Roman"/>
                <w:b/>
                <w:i/>
                <w:color w:val="000000"/>
                <w:sz w:val="24"/>
                <w:szCs w:val="24"/>
              </w:rPr>
              <w:t>Опис та приклади формальних несуттєвих помилок.</w:t>
            </w:r>
          </w:p>
          <w:p>
            <w:pPr>
              <w:pStyle w:val="Normal"/>
              <w:widowControl w:val="false"/>
              <w:jc w:val="both"/>
              <w:rPr/>
            </w:pPr>
            <w:r>
              <w:rPr>
                <w:rFonts w:eastAsia="Times New Roman" w:cs="Times New Roman" w:ascii="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pPr>
            <w:r>
              <w:rPr>
                <w:rFonts w:eastAsia="Times New Roman" w:cs="Times New Roman" w:ascii="Times New Roman" w:hAnsi="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pPr>
            <w:r>
              <w:rPr>
                <w:rFonts w:eastAsia="Times New Roman" w:cs="Times New Roman" w:ascii="Times New Roman" w:hAnsi="Times New Roman"/>
                <w:i/>
                <w:color w:val="000000"/>
                <w:sz w:val="24"/>
                <w:szCs w:val="24"/>
                <w:u w:val="single"/>
              </w:rPr>
              <w:t>Опис формальних помилок:</w:t>
            </w:r>
          </w:p>
          <w:p>
            <w:pPr>
              <w:pStyle w:val="Normal"/>
              <w:widowControl w:val="false"/>
              <w:jc w:val="both"/>
              <w:rPr/>
            </w:pPr>
            <w:r>
              <w:rPr>
                <w:rFonts w:eastAsia="Times New Roman" w:cs="Times New Roman" w:ascii="Times New Roman" w:hAnsi="Times New Roman"/>
                <w:color w:val="000000"/>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великої літери;</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розділових знаків та відмінювання слів у реченні;</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використання слова або мовного звороту, запозичених з іншої мови;</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застосування правил переносу частини слова з рядка в рядок;</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написання слів разом та/або окремо, та/або через дефіс;</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pPr>
            <w:r>
              <w:rPr>
                <w:rFonts w:eastAsia="Times New Roman" w:cs="Times New Roman" w:ascii="Times New Roman" w:hAnsi="Times New Roman"/>
                <w:color w:val="000000"/>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pPr>
            <w:r>
              <w:rPr>
                <w:rFonts w:eastAsia="Times New Roman" w:cs="Times New Roman" w:ascii="Times New Roman" w:hAnsi="Times New Roman"/>
                <w:color w:val="000000"/>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4.</w:t>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jc w:val="both"/>
              <w:rPr/>
            </w:pPr>
            <w:r>
              <w:rPr>
                <w:rFonts w:eastAsia="Times New Roman" w:cs="Times New Roman" w:ascii="Times New Roman" w:hAnsi="Times New Roman"/>
                <w:color w:val="000000"/>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pPr>
            <w:r>
              <w:rPr>
                <w:rFonts w:eastAsia="Times New Roman" w:cs="Times New Roman" w:ascii="Times New Roman" w:hAnsi="Times New Roman"/>
                <w:color w:val="000000"/>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pPr>
            <w:r>
              <w:rPr>
                <w:rFonts w:eastAsia="Times New Roman" w:cs="Times New Roman" w:ascii="Times New Roman" w:hAnsi="Times New Roman"/>
                <w:color w:val="000000"/>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rFonts w:eastAsia="Times New Roman" w:cs="Times New Roman" w:ascii="Times New Roman" w:hAnsi="Times New Roman"/>
                <w:color w:val="000000"/>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pPr>
            <w:r>
              <w:rPr>
                <w:rFonts w:eastAsia="Times New Roman" w:cs="Times New Roman" w:ascii="Times New Roman" w:hAnsi="Times New Roman"/>
                <w:color w:val="000000"/>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pPr>
            <w:r>
              <w:rPr>
                <w:rFonts w:eastAsia="Times New Roman" w:cs="Times New Roman" w:ascii="Times New Roman" w:hAnsi="Times New Roman"/>
                <w:color w:val="000000"/>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pPr>
            <w:r>
              <w:rPr>
                <w:rFonts w:eastAsia="Times New Roman" w:cs="Times New Roman" w:ascii="Times New Roman" w:hAnsi="Times New Roman"/>
                <w:color w:val="000000"/>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pPr>
            <w:r>
              <w:rPr>
                <w:rFonts w:eastAsia="Times New Roman" w:cs="Times New Roman" w:ascii="Times New Roman" w:hAnsi="Times New Roman"/>
                <w:i/>
                <w:color w:val="000000"/>
                <w:sz w:val="24"/>
                <w:szCs w:val="24"/>
                <w:u w:val="single"/>
              </w:rPr>
              <w:t>Приклади формальних помилок:</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«м.київ» замість «м.Київ»;</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«поряд -ок» замість «поря – док»;</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«ненадається» замість «не надається»»;</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 замість «14.08.2020 №320/13/14-01»</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учасник розмістив (завантажив) документ у форматі «JPG» замість  документа у форматі «pdf» (PortableDocumentFormat)».</w:t>
            </w:r>
          </w:p>
          <w:p>
            <w:pPr>
              <w:pStyle w:val="Normal"/>
              <w:widowControl w:val="false"/>
              <w:jc w:val="both"/>
              <w:rPr/>
            </w:pPr>
            <w:r>
              <w:rPr>
                <w:rFonts w:eastAsia="Times New Roman" w:cs="Times New Roman" w:ascii="Times New Roman" w:hAnsi="Times New Roman"/>
                <w:color w:val="000000"/>
                <w:sz w:val="24"/>
                <w:szCs w:val="24"/>
              </w:rPr>
              <w:t>13. Інші  технічні помилки та описки, що пов’язані з оформленням тендерної пропозиції та не впливають на зміст тендерної пропозиції.</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40" w:hanging="20"/>
              <w:jc w:val="both"/>
              <w:rPr/>
            </w:pPr>
            <w:r>
              <w:rPr>
                <w:rFonts w:eastAsia="Times New Roman" w:cs="Times New Roman"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ind w:left="40" w:hanging="20"/>
              <w:jc w:val="both"/>
              <w:rPr/>
            </w:pPr>
            <w:r>
              <w:rPr>
                <w:rFonts w:eastAsia="Times New Roman" w:cs="Times New Roman" w:ascii="Times New Roman" w:hAnsi="Times New Roman"/>
                <w:b/>
                <w:color w:val="000000"/>
                <w:sz w:val="24"/>
                <w:szCs w:val="24"/>
              </w:rPr>
              <w:t>УВАГА!!!</w:t>
            </w:r>
          </w:p>
          <w:p>
            <w:pPr>
              <w:pStyle w:val="Normal"/>
              <w:widowControl w:val="false"/>
              <w:jc w:val="both"/>
              <w:rPr>
                <w:b w:val="false"/>
                <w:b w:val="false"/>
                <w:bCs w:val="false"/>
              </w:rPr>
            </w:pPr>
            <w:bookmarkStart w:id="2" w:name="_heading=h.3znysh7"/>
            <w:bookmarkEnd w:id="2"/>
            <w:r>
              <w:rPr>
                <w:rFonts w:eastAsia="Times New Roman" w:cs="Times New Roman" w:ascii="Times New Roman" w:hAnsi="Times New Roman"/>
                <w:b w:val="false"/>
                <w:bCs w:val="false"/>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rPr>
              <w:t>1) документи мають бути чіткими та розбірливими для читання;</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rPr>
              <w:t>Винятки:</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b w:val="false"/>
                <w:b w:val="false"/>
                <w:bCs w:val="false"/>
              </w:rPr>
            </w:pPr>
            <w:r>
              <w:rPr>
                <w:rFonts w:eastAsia="Times New Roman" w:cs="Times New Roman" w:ascii="Times New Roman" w:hAnsi="Times New Roman"/>
                <w:b w:val="false"/>
                <w:bCs w:val="false"/>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b w:val="false"/>
                <w:b w:val="false"/>
                <w:bCs w:val="false"/>
              </w:rPr>
            </w:pPr>
            <w:r>
              <w:rPr>
                <w:rFonts w:eastAsia="Times New Roman" w:cs="Times New Roman" w:ascii="Times New Roman" w:hAnsi="Times New Roman"/>
                <w:b w:val="false"/>
                <w:bCs w:val="false"/>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pPr>
            <w:bookmarkStart w:id="3" w:name="_heading=h.2et92p0"/>
            <w:bookmarkEnd w:id="3"/>
            <w:r>
              <w:rPr>
                <w:rFonts w:eastAsia="Times New Roman" w:cs="Times New Roman"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pPr>
            <w:bookmarkStart w:id="4" w:name="_heading=h.hjqm8skarbdr"/>
            <w:bookmarkEnd w:id="4"/>
            <w:r>
              <w:rPr>
                <w:rFonts w:eastAsia="Times New Roman" w:cs="Times New Roman" w:ascii="Times New Roman" w:hAnsi="Times New Roman"/>
                <w:color w:val="000000"/>
                <w:sz w:val="24"/>
                <w:szCs w:val="24"/>
              </w:rPr>
              <w:t xml:space="preserve">Тендерні пропозиції мають право подавати всі заінтересовані особи. </w:t>
            </w:r>
          </w:p>
          <w:p>
            <w:pPr>
              <w:pStyle w:val="Normal"/>
              <w:widowControl w:val="false"/>
              <w:jc w:val="both"/>
              <w:rPr/>
            </w:pPr>
            <w:bookmarkStart w:id="5" w:name="_heading=h.ftj7vaqoric"/>
            <w:bookmarkEnd w:id="5"/>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color w:val="000000"/>
                <w:sz w:val="24"/>
                <w:szCs w:val="24"/>
              </w:rPr>
              <w:t>(у разі здійснення закупівлі за лотами)</w:t>
            </w:r>
            <w:r>
              <w:rPr>
                <w:rFonts w:eastAsia="Times New Roman" w:cs="Times New Roman" w:ascii="Times New Roman" w:hAnsi="Times New Roman"/>
                <w:color w:val="000000"/>
                <w:sz w:val="24"/>
                <w:szCs w:val="24"/>
              </w:rPr>
              <w:t xml:space="preserve">. </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bookmarkStart w:id="6" w:name="_heading=h.tyjcwt"/>
            <w:bookmarkEnd w:id="6"/>
            <w:r>
              <w:rPr>
                <w:rFonts w:eastAsia="Times New Roman" w:cs="Times New Roman" w:ascii="Times New Roman" w:hAnsi="Times New Roman"/>
                <w:b/>
                <w:color w:val="000000"/>
                <w:sz w:val="20"/>
                <w:szCs w:val="20"/>
              </w:rPr>
              <w:t>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Умови повернення чи неповернення 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Не передбачається.</w:t>
            </w:r>
          </w:p>
          <w:p>
            <w:pPr>
              <w:pStyle w:val="Normal"/>
              <w:widowControl w:val="false"/>
              <w:shd w:val="clear" w:color="auto" w:fill="FFFFFF"/>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sz w:val="20"/>
                <w:szCs w:val="20"/>
              </w:rPr>
              <w:t>Кваліфікаційні критерії до учасників та вимоги згідно  з пунктом 28  та пунктом 47  Особливостей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snapToGrid w:val="false"/>
              <w:jc w:val="both"/>
              <w:rPr/>
            </w:pPr>
            <w:r>
              <w:rPr>
                <w:rFonts w:cs="Times New Roman"/>
                <w:b/>
                <w:color w:val="000000"/>
                <w:lang w:val="ru-RU"/>
              </w:rPr>
              <w:t>Учасники торгів повинні відповідати таким кваліфікаційним критериям:</w:t>
            </w:r>
          </w:p>
          <w:p>
            <w:pPr>
              <w:pStyle w:val="Style19"/>
              <w:widowControl w:val="false"/>
              <w:numPr>
                <w:ilvl w:val="0"/>
                <w:numId w:val="1"/>
              </w:numPr>
              <w:snapToGrid w:val="false"/>
              <w:jc w:val="both"/>
              <w:rPr/>
            </w:pPr>
            <w:r>
              <w:rPr>
                <w:rFonts w:eastAsia="Times New Roman" w:cs="Times New Roman"/>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p>
            <w:pPr>
              <w:pStyle w:val="Normal"/>
              <w:widowControl w:val="false"/>
              <w:ind w:right="120" w:hanging="0"/>
              <w:jc w:val="both"/>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 xml:space="preserve">у </w:t>
            </w:r>
            <w:r>
              <w:rPr>
                <w:rFonts w:eastAsia="Times New Roman" w:cs="Times New Roman" w:ascii="Times New Roman" w:hAnsi="Times New Roman"/>
                <w:b/>
                <w:bCs/>
                <w:color w:val="000000"/>
                <w:sz w:val="24"/>
                <w:szCs w:val="24"/>
              </w:rPr>
              <w:t xml:space="preserve">Додатку 1 </w:t>
            </w:r>
            <w:r>
              <w:rPr>
                <w:rFonts w:eastAsia="Times New Roman" w:cs="Times New Roman" w:ascii="Times New Roman" w:hAnsi="Times New Roman"/>
                <w:sz w:val="24"/>
                <w:szCs w:val="24"/>
              </w:rPr>
              <w:t xml:space="preserve">тендерної документації. </w:t>
            </w:r>
          </w:p>
          <w:p>
            <w:pPr>
              <w:pStyle w:val="Normal"/>
              <w:widowControl w:val="false"/>
              <w:ind w:right="120" w:hanging="0"/>
              <w:jc w:val="both"/>
              <w:rPr/>
            </w:pPr>
            <w:r>
              <w:rPr/>
            </w:r>
          </w:p>
          <w:p>
            <w:pPr>
              <w:pStyle w:val="Normal"/>
              <w:widowControl w:val="false"/>
              <w:ind w:right="120" w:hanging="0"/>
              <w:jc w:val="both"/>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pacing w:before="120" w:after="160"/>
              <w:jc w:val="both"/>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0" w:after="348"/>
              <w:ind w:right="120" w:hanging="0"/>
              <w:jc w:val="both"/>
              <w:rPr/>
            </w:pPr>
            <w:r>
              <w:rPr>
                <w:rFonts w:eastAsia="Times New Roman" w:cs="Times New Roman" w:ascii="Times New Roman" w:hAnsi="Times New Roman"/>
                <w:sz w:val="24"/>
                <w:szCs w:val="24"/>
                <w:highlight w:val="white"/>
              </w:rPr>
              <w:t>Спосіб підтвердження відсутності підстав для відхилення</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визначених пунктом 47 Особливостей наведено в</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color w:val="000000"/>
                <w:sz w:val="24"/>
                <w:szCs w:val="24"/>
                <w:highlight w:val="white"/>
              </w:rPr>
              <w:t xml:space="preserve">у </w:t>
            </w:r>
            <w:r>
              <w:rPr>
                <w:rFonts w:eastAsia="Times New Roman" w:cs="Times New Roman" w:ascii="Times New Roman" w:hAnsi="Times New Roman"/>
                <w:b/>
                <w:bCs/>
                <w:color w:val="000000"/>
                <w:sz w:val="24"/>
                <w:szCs w:val="24"/>
                <w:highlight w:val="white"/>
              </w:rPr>
              <w:t xml:space="preserve">Додатку 1 </w:t>
            </w:r>
            <w:r>
              <w:rPr>
                <w:rFonts w:eastAsia="Times New Roman" w:cs="Times New Roman" w:ascii="Times New Roman" w:hAnsi="Times New Roman"/>
                <w:sz w:val="24"/>
                <w:szCs w:val="24"/>
                <w:highlight w:val="white"/>
              </w:rPr>
              <w:t xml:space="preserve">тендерної документації. </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 xml:space="preserve">Інформація про субпідрядника /співвиконавця </w:t>
            </w:r>
            <w:r>
              <w:rPr>
                <w:rFonts w:eastAsia="Times New Roman" w:cs="Times New Roman" w:ascii="Times New Roman" w:hAnsi="Times New Roman"/>
                <w:color w:val="000000"/>
                <w:sz w:val="20"/>
                <w:szCs w:val="20"/>
              </w:rPr>
              <w:t>(у випадку закупівлі робіт чи послуг)</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highlight w:val="white"/>
              </w:rPr>
              <w:t>Не передбачається</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Унесення змін або відкликання тендерної пропозиції учасником</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ind w:right="113" w:hanging="0"/>
              <w:jc w:val="both"/>
              <w:rPr/>
            </w:pPr>
            <w:r>
              <w:rPr>
                <w:rFonts w:eastAsia="Times New Roman" w:cs="Times New Roman" w:ascii="Times New Roman" w:hAnsi="Times New Roman"/>
                <w:b/>
                <w:bCs/>
                <w:sz w:val="24"/>
                <w:szCs w:val="24"/>
                <w:lang w:val="uk-UA" w:eastAsia="uk-UA"/>
              </w:rPr>
              <w:t xml:space="preserve">Кінцевий строк подання тендерних пропозицій </w:t>
            </w:r>
            <w:r>
              <w:rPr>
                <w:rFonts w:eastAsia="Times New Roman" w:cs="Times New Roman" w:ascii="Times New Roman" w:hAnsi="Times New Roman"/>
                <w:b/>
                <w:bCs/>
                <w:i/>
                <w:sz w:val="24"/>
                <w:szCs w:val="24"/>
                <w:lang w:val="uk-UA" w:eastAsia="uk-UA"/>
              </w:rPr>
              <w:t>відповідно до оголошення, розміщеному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sz w:val="20"/>
                <w:szCs w:val="20"/>
                <w:highlight w:val="white"/>
              </w:rPr>
              <w:t>Дата та час розкриття тендерної пропозиції</w:t>
            </w:r>
            <w:r>
              <w:rPr>
                <w:rFonts w:eastAsia="Times New Roman" w:cs="Times New Roman" w:ascii="Times New Roman" w:hAnsi="Times New Roman"/>
                <w:sz w:val="20"/>
                <w:szCs w:val="20"/>
                <w:highlight w:val="white"/>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Перелік критеріїв та методика оцінки тендерної пропозиції із зазначенням питомої ваги критерію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hd w:val="clear" w:color="auto" w:fill="FFFFFF"/>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pPr>
            <w:r>
              <w:rPr>
                <w:rFonts w:eastAsia="Times New Roman" w:cs="Times New Roman" w:ascii="Times New Roman" w:hAnsi="Times New Roman"/>
                <w:i/>
                <w:color w:val="000000"/>
                <w:sz w:val="24"/>
                <w:szCs w:val="24"/>
              </w:rPr>
              <w:t xml:space="preserve">Ціна тендерної пропозиції </w:t>
            </w:r>
            <w:r>
              <w:rPr>
                <w:rFonts w:eastAsia="Times New Roman" w:cs="Times New Roman" w:ascii="Times New Roman" w:hAnsi="Times New Roman"/>
                <w:b/>
                <w:bCs/>
                <w:i/>
                <w:color w:val="000000"/>
                <w:sz w:val="24"/>
                <w:szCs w:val="24"/>
              </w:rPr>
              <w:t>не може</w:t>
            </w:r>
            <w:r>
              <w:rPr>
                <w:rFonts w:eastAsia="Times New Roman" w:cs="Times New Roman" w:ascii="Times New Roman" w:hAnsi="Times New Roman"/>
                <w:i/>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b/>
                <w:bCs/>
                <w:i/>
                <w:color w:val="000000"/>
                <w:sz w:val="24"/>
                <w:szCs w:val="24"/>
              </w:rPr>
              <w:t>не приймається</w:t>
            </w:r>
            <w:r>
              <w:rPr>
                <w:rFonts w:eastAsia="Times New Roman" w:cs="Times New Roman" w:ascii="Times New Roman" w:hAnsi="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b/>
                <w:b/>
                <w:bCs/>
              </w:rPr>
            </w:pPr>
            <w:r>
              <w:rPr>
                <w:rFonts w:eastAsia="Times New Roman" w:cs="Times New Roman" w:ascii="Times New Roman" w:hAnsi="Times New Roman"/>
                <w:b/>
                <w:bCs/>
                <w:color w:val="000000"/>
                <w:sz w:val="24"/>
                <w:szCs w:val="24"/>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роботи</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виконати</w:t>
            </w:r>
            <w:r>
              <w:rPr>
                <w:rFonts w:eastAsia="Times New Roman" w:cs="Times New Roman" w:ascii="Times New Roman" w:hAnsi="Times New Roman"/>
                <w:color w:val="000000"/>
                <w:sz w:val="24"/>
                <w:szCs w:val="24"/>
              </w:rPr>
              <w:t xml:space="preserve"> за договором про закупівлю, з урахуванням податків і зборів (у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робіт</w:t>
            </w:r>
            <w:r>
              <w:rPr>
                <w:rFonts w:eastAsia="Times New Roman" w:cs="Times New Roman" w:ascii="Times New Roman" w:hAnsi="Times New Roman"/>
                <w:color w:val="000000"/>
                <w:sz w:val="24"/>
                <w:szCs w:val="24"/>
              </w:rPr>
              <w:t xml:space="preserve"> даного виду.</w:t>
            </w:r>
          </w:p>
          <w:p>
            <w:pPr>
              <w:pStyle w:val="Normal"/>
              <w:widowControl w:val="false"/>
              <w:jc w:val="both"/>
              <w:rPr>
                <w:i/>
                <w:i/>
                <w:iCs/>
              </w:rPr>
            </w:pPr>
            <w:r>
              <w:rPr>
                <w:rFonts w:eastAsia="Times New Roman" w:cs="Times New Roman" w:ascii="Times New Roman" w:hAnsi="Times New Roman"/>
                <w:i/>
                <w:iCs/>
                <w:sz w:val="24"/>
                <w:szCs w:val="24"/>
                <w:highlight w:val="white"/>
              </w:rPr>
              <w:t xml:space="preserve">Розмір мінімального кроку пониження ціни під час електронного аукціону – 0,5 %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before="0" w:after="160"/>
              <w:jc w:val="both"/>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before="0" w:after="160"/>
              <w:jc w:val="both"/>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160"/>
              <w:jc w:val="both"/>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160"/>
              <w:jc w:val="both"/>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highlight w:val="white"/>
              </w:rPr>
              <w:t>протягом 24 годин</w:t>
            </w:r>
            <w:r>
              <w:rPr>
                <w:rFonts w:eastAsia="Times New Roman" w:cs="Times New Roman" w:ascii="Times New Roman" w:hAnsi="Times New Roman"/>
                <w:sz w:val="24"/>
                <w:szCs w:val="24"/>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pPr>
            <w:r>
              <w:rPr>
                <w:rFonts w:eastAsia="Times New Roman" w:cs="Times New Roman" w:ascii="Times New Roman" w:hAnsi="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color w:val="000000"/>
                <w:sz w:val="24"/>
                <w:szCs w:val="24"/>
              </w:rPr>
              <w:t>(у разі здійснення закупівлі за лотами)</w:t>
            </w:r>
            <w:r>
              <w:rPr>
                <w:rFonts w:eastAsia="Times New Roman" w:cs="Times New Roman" w:ascii="Times New Roman" w:hAnsi="Times New Roman"/>
                <w:b/>
                <w:i/>
                <w:color w:val="000000"/>
                <w:sz w:val="24"/>
                <w:szCs w:val="24"/>
              </w:rPr>
              <w:t>.</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Інша інформація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000000"/>
                <w:sz w:val="24"/>
                <w:szCs w:val="24"/>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i/>
                <w:i/>
                <w:iCs/>
              </w:rPr>
            </w:pPr>
            <w:r>
              <w:rPr>
                <w:rFonts w:eastAsia="Times New Roman" w:cs="Times New Roman" w:ascii="Times New Roman" w:hAnsi="Times New Roman"/>
                <w:i/>
                <w:iCs/>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i/>
                <w:iCs/>
                <w:sz w:val="24"/>
                <w:szCs w:val="24"/>
              </w:rPr>
              <w:t>у</w:t>
            </w:r>
            <w:r>
              <w:rPr>
                <w:rFonts w:eastAsia="Times New Roman" w:cs="Times New Roman" w:ascii="Times New Roman" w:hAnsi="Times New Roman"/>
                <w:i/>
                <w:iCs/>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i/>
                <w:i/>
                <w:iCs/>
              </w:rPr>
            </w:pPr>
            <w:r>
              <w:rPr>
                <w:i/>
                <w:iCs/>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eastAsia="Times New Roman" w:cs="Times New Roman" w:ascii="Times New Roman" w:hAnsi="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color w:val="auto"/>
              </w:rPr>
            </w:pPr>
            <w:r>
              <w:rPr>
                <w:rFonts w:eastAsia="Times New Roman" w:cs="Times New Roman" w:ascii="Times New Roman" w:hAnsi="Times New Roman"/>
                <w:color w:val="auto"/>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color w:val="auto"/>
                <w:sz w:val="24"/>
                <w:szCs w:val="24"/>
              </w:rPr>
              <w:t>Додатку 2</w:t>
            </w:r>
            <w:r>
              <w:rPr>
                <w:rFonts w:eastAsia="Times New Roman" w:cs="Times New Roman" w:ascii="Times New Roman" w:hAnsi="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auto"/>
                <w:sz w:val="24"/>
                <w:szCs w:val="24"/>
              </w:rPr>
              <w:t>в п. 4 Розділу 3</w:t>
            </w:r>
            <w:r>
              <w:rPr>
                <w:rFonts w:eastAsia="Times New Roman" w:cs="Times New Roman" w:ascii="Times New Roman" w:hAnsi="Times New Roman"/>
                <w:color w:val="auto"/>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pPr>
            <w:r>
              <w:rPr>
                <w:rFonts w:eastAsia="Times New Roman" w:cs="Times New Roman" w:ascii="Times New Roman" w:hAnsi="Times New Roman"/>
                <w:color w:val="000000"/>
                <w:sz w:val="24"/>
                <w:szCs w:val="24"/>
              </w:rPr>
              <w:t>- З</w:t>
            </w:r>
            <w:r>
              <w:rPr>
                <w:rFonts w:eastAsia="Times New Roman" w:cs="Times New Roman" w:ascii="Times New Roman" w:hAnsi="Times New Roman"/>
                <w:color w:val="000000"/>
                <w:sz w:val="24"/>
                <w:szCs w:val="24"/>
                <w:highlight w:val="white"/>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s="Times New Roman"/>
                <w:i/>
                <w:i/>
                <w:sz w:val="20"/>
                <w:szCs w:val="20"/>
              </w:rPr>
            </w:pPr>
            <w:r>
              <w:rPr>
                <w:rFonts w:eastAsia="Times New Roman" w:cs="Times New Roman" w:ascii="Times New Roman" w:hAnsi="Times New Roman"/>
                <w:color w:val="000000"/>
                <w:sz w:val="24"/>
                <w:szCs w:val="24"/>
                <w:highlight w:val="white"/>
              </w:rPr>
              <w:t>- Замовникам забороняється здійсню</w:t>
            </w:r>
            <w:r>
              <w:rPr>
                <w:rFonts w:eastAsia="Times New Roman" w:cs="Times New Roman" w:ascii="Times New Roman" w:hAnsi="Times New Roman"/>
                <w:color w:val="333333"/>
                <w:sz w:val="24"/>
                <w:szCs w:val="24"/>
                <w:highlight w:val="white"/>
              </w:rPr>
              <w:t>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highlight w:val="white"/>
              </w:rPr>
              <w:t>у разі, коли: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highlight w:val="white"/>
              </w:rPr>
              <w:t>не пізніше як через чотири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sz w:val="20"/>
                <w:szCs w:val="20"/>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Строк укладання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Проєкт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98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Умови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b/>
                <w:bCs/>
                <w:color w:val="000000"/>
                <w:sz w:val="24"/>
                <w:szCs w:val="24"/>
              </w:rPr>
              <w:t>Істотними умовами договору про закупівлю є предмет (найменування, кількість, якість), ціна та строк дії договору.</w:t>
            </w:r>
            <w:r>
              <w:rPr>
                <w:rFonts w:eastAsia="Times New Roman" w:cs="Times New Roman" w:ascii="Times New Roman" w:hAnsi="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jc w:val="both"/>
              <w:rPr/>
            </w:pPr>
            <w:r>
              <w:rPr>
                <w:rFonts w:eastAsia="Times New Roman" w:cs="Times New Roman" w:ascii="Times New Roman" w:hAnsi="Times New Roman"/>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color w:val="000000"/>
                <w:sz w:val="24"/>
                <w:szCs w:val="24"/>
              </w:rPr>
              <w:t>(у разі закупівлі товару)</w:t>
            </w:r>
            <w:r>
              <w:rPr>
                <w:rFonts w:eastAsia="Times New Roman" w:cs="Times New Roman" w:ascii="Times New Roman" w:hAnsi="Times New Roman"/>
                <w:color w:val="000000"/>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bookmarkStart w:id="7" w:name="_heading=h.gjdgxs"/>
            <w:bookmarkEnd w:id="7"/>
            <w:r>
              <w:rPr>
                <w:rFonts w:eastAsia="Times New Roman" w:cs="Times New Roman" w:ascii="Times New Roman" w:hAnsi="Times New Roman"/>
                <w:b/>
                <w:color w:val="000000"/>
                <w:sz w:val="20"/>
                <w:szCs w:val="20"/>
              </w:rPr>
              <w:t>Забезпечення виконання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8" w:name="_heading=h.2s8eyo1"/>
      <w:bookmarkStart w:id="9" w:name="_heading=h.2s8eyo1"/>
      <w:bookmarkEnd w:id="9"/>
    </w:p>
    <w:p>
      <w:pPr>
        <w:pStyle w:val="Normal"/>
        <w:widowControl w:val="false"/>
        <w:jc w:val="both"/>
        <w:rPr/>
      </w:pPr>
      <w:r>
        <w:rPr>
          <w:rFonts w:eastAsia="Times New Roman" w:cs="Times New Roman" w:ascii="Times New Roman" w:hAnsi="Times New Roman"/>
          <w:sz w:val="24"/>
          <w:szCs w:val="24"/>
        </w:rPr>
        <w:t>Додатки до тендерної документації:</w:t>
      </w:r>
    </w:p>
    <w:p>
      <w:pPr>
        <w:pStyle w:val="Normal"/>
        <w:widowControl w:val="false"/>
        <w:jc w:val="both"/>
        <w:rPr/>
      </w:pPr>
      <w:r>
        <w:rPr>
          <w:rFonts w:eastAsia="Times New Roman" w:cs="Times New Roman" w:ascii="Times New Roman" w:hAnsi="Times New Roman"/>
          <w:sz w:val="24"/>
          <w:szCs w:val="24"/>
        </w:rPr>
        <w:t xml:space="preserve">Додаток 1 </w:t>
      </w:r>
      <w:r>
        <w:rPr>
          <w:rFonts w:eastAsia="Times New Roman" w:cs="Times New Roman" w:ascii="Times New Roman" w:hAnsi="Times New Roman"/>
          <w:b w:val="false"/>
          <w:bCs w:val="false"/>
          <w:sz w:val="24"/>
          <w:szCs w:val="24"/>
        </w:rPr>
        <w:t>“Перелік документів та інформації, які має містити тендерна пропозиція учасника</w:t>
      </w:r>
      <w:r>
        <w:rPr>
          <w:rFonts w:eastAsia="Times New Roman" w:cs="Times New Roman" w:ascii="Times New Roman" w:hAnsi="Times New Roman"/>
          <w:b w:val="false"/>
          <w:bCs w:val="false"/>
        </w:rPr>
        <w:t>”</w:t>
      </w:r>
      <w:r>
        <w:rPr>
          <w:rFonts w:eastAsia="Times New Roman" w:cs="Times New Roman" w:ascii="Times New Roman" w:hAnsi="Times New Roman"/>
          <w:b w:val="false"/>
          <w:bCs w:val="false"/>
          <w:sz w:val="24"/>
          <w:szCs w:val="24"/>
        </w:rPr>
        <w:t xml:space="preserve"> </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rPr>
        <w:t xml:space="preserve">Додаток 2 “Проєкт договору”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Standard"/>
        <w:tabs>
          <w:tab w:val="clear" w:pos="720"/>
          <w:tab w:val="left" w:pos="570" w:leader="none"/>
        </w:tabs>
        <w:jc w:val="center"/>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widowControl w:val="false"/>
        <w:shd w:val="clear" w:color="auto" w:fill="FFFFFF"/>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Уповноважена особа з питань закупівель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виконавчого комітету Славутської міської ради                                       Тетяна НОВАК</w:t>
      </w:r>
      <w:bookmarkStart w:id="10" w:name="_GoBack"/>
      <w:bookmarkEnd w:id="10"/>
    </w:p>
    <w:sectPr>
      <w:footerReference w:type="default" r:id="rId3"/>
      <w:footerReference w:type="first" r:id="rId4"/>
      <w:type w:val="nextPage"/>
      <w:pgSz w:w="11906" w:h="16838"/>
      <w:pgMar w:left="1417" w:right="850" w:gutter="0" w:header="0"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22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ascii="Times New Roman" w:hAnsi="Times New Roman" w:eastAsia="Lucida Sans Unicode" w:cs="Times New Roman"/>
      </w:rPr>
    </w:lvl>
    <w:lvl w:ilvl="1">
      <w:start w:val="1"/>
      <w:numFmt w:val="decimal"/>
      <w:lvlText w:val="%2)"/>
      <w:lvlJc w:val="left"/>
      <w:pPr>
        <w:tabs>
          <w:tab w:val="num" w:pos="1080"/>
        </w:tabs>
        <w:ind w:left="1080" w:hanging="360"/>
      </w:pPr>
      <w:rPr>
        <w:rFonts w:ascii="Courier New" w:hAnsi="Courier New" w:cs="Courier New"/>
        <w:lang w:val="uk-U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before="0" w:after="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у виносці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21" w:customStyle="1">
    <w:name w:val="Основний текст (2) + Напівжирни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lang w:val="uk-UA" w:bidi="uk-UA"/>
    </w:rPr>
  </w:style>
  <w:style w:type="character" w:styleId="WW8Num2z0" w:customStyle="1">
    <w:name w:val="WW8Num2z0"/>
    <w:qFormat/>
    <w:rPr>
      <w:rFonts w:ascii="Times New Roman" w:hAnsi="Times New Roman" w:eastAsia="Lucida Sans Unicode" w:cs="Times New Roman"/>
    </w:rPr>
  </w:style>
  <w:style w:type="character" w:styleId="WW8Num2z1" w:customStyle="1">
    <w:name w:val="WW8Num2z1"/>
    <w:qFormat/>
    <w:rPr>
      <w:rFonts w:ascii="Courier New" w:hAnsi="Courier New" w:cs="Courier New"/>
      <w:lang w:val="uk-UA"/>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paragraph" w:styleId="Style10" w:customStyle="1">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Onormal1" w:customStyle="1">
    <w:name w:val="LO-normal1"/>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rPr>
      <w:rFonts w:ascii="Segoe UI" w:hAnsi="Segoe UI" w:cs="Segoe UI"/>
      <w:sz w:val="18"/>
      <w:szCs w:val="18"/>
    </w:rPr>
  </w:style>
  <w:style w:type="paragraph" w:styleId="NormalWeb">
    <w:name w:val="Normal (Web)"/>
    <w:basedOn w:val="Normal"/>
    <w:qFormat/>
    <w:pPr>
      <w:spacing w:before="280" w:after="280"/>
    </w:pPr>
    <w:rPr>
      <w:rFonts w:ascii="Times New Roman" w:hAnsi="Times New Roman" w:eastAsia="Times New Roman" w:cs="Times New Roman"/>
      <w:color w:val="000000"/>
      <w:sz w:val="24"/>
      <w:szCs w:val="24"/>
    </w:rPr>
  </w:style>
  <w:style w:type="paragraph" w:styleId="Tj" w:customStyle="1">
    <w:name w:val="tj"/>
    <w:basedOn w:val="Normal"/>
    <w:qFormat/>
    <w:rsid w:val="00711376"/>
    <w:pPr>
      <w:spacing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0" w:after="0"/>
    </w:pPr>
    <w:rPr>
      <w:rFonts w:ascii="Times New Roman" w:hAnsi="Times New Roman" w:eastAsia="Times New Roman" w:cs="Times New Roman"/>
      <w:sz w:val="24"/>
      <w:szCs w:val="24"/>
    </w:rPr>
  </w:style>
  <w:style w:type="paragraph" w:styleId="Style16">
    <w:name w:val="Subtitle"/>
    <w:basedOn w:val="LOnormal1"/>
    <w:next w:val="LOnormal1"/>
    <w:qFormat/>
    <w:pPr>
      <w:keepNext w:val="true"/>
      <w:keepLines/>
      <w:spacing w:lineRule="auto" w:line="240" w:before="360" w:after="80"/>
    </w:pPr>
    <w:rPr>
      <w:rFonts w:ascii="Georgia" w:hAnsi="Georgia" w:eastAsia="Georgia" w:cs="Georgia"/>
      <w:i/>
      <w:color w:val="666666"/>
      <w:sz w:val="48"/>
      <w:szCs w:val="48"/>
    </w:rPr>
  </w:style>
  <w:style w:type="paragraph" w:styleId="Style17" w:customStyle="1">
    <w:name w:val="Верхній і нижній колонтитули"/>
    <w:basedOn w:val="Normal"/>
    <w:qFormat/>
    <w:pPr/>
    <w:rPr/>
  </w:style>
  <w:style w:type="paragraph" w:styleId="Style18">
    <w:name w:val="Footer"/>
    <w:basedOn w:val="Style17"/>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color w:val="000000"/>
      <w:sz w:val="20"/>
      <w:szCs w:val="20"/>
    </w:rPr>
  </w:style>
  <w:style w:type="paragraph" w:styleId="Style19" w:customStyle="1">
    <w:name w:val="Содержимое таблицы"/>
    <w:basedOn w:val="Normal"/>
    <w:qFormat/>
    <w:pPr>
      <w:widowControl w:val="false"/>
      <w:suppressLineNumbers/>
    </w:pPr>
    <w:rPr>
      <w:rFonts w:ascii="Times New Roman" w:hAnsi="Times New Roman" w:eastAsia="Lucida Sans Unicode" w:cs="Tahoma"/>
      <w:sz w:val="24"/>
      <w:szCs w:val="24"/>
      <w:lang w:bidi="en-US"/>
    </w:rPr>
  </w:style>
  <w:style w:type="paragraph" w:styleId="LOnormal" w:customStyle="1">
    <w:name w:val="LO-normal"/>
    <w:qFormat/>
    <w:pPr>
      <w:widowControl/>
      <w:suppressAutoHyphens w:val="true"/>
      <w:overflowPunct w:val="false"/>
      <w:bidi w:val="0"/>
      <w:spacing w:lineRule="auto" w:line="276" w:before="0" w:after="0"/>
      <w:jc w:val="left"/>
    </w:pPr>
    <w:rPr>
      <w:rFonts w:ascii="Arial" w:hAnsi="Arial" w:eastAsia="Arial" w:cs="Arial"/>
      <w:color w:val="000000"/>
      <w:kern w:val="0"/>
      <w:sz w:val="22"/>
      <w:szCs w:val="22"/>
      <w:lang w:val="ru-RU" w:eastAsia="zh-CN" w:bidi="ar-SA"/>
    </w:rPr>
  </w:style>
  <w:style w:type="paragraph" w:styleId="LOnormal3" w:customStyle="1">
    <w:name w:val="LO-normal3"/>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11" w:customStyle="1">
    <w:name w:val="Звичайни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ar-SA" w:bidi="hi-IN"/>
    </w:rPr>
  </w:style>
  <w:style w:type="paragraph" w:styleId="Standard" w:customStyle="1">
    <w:name w:val="Standard"/>
    <w:qFormat/>
    <w:pPr>
      <w:widowControl w:val="false"/>
      <w:suppressAutoHyphens w:val="true"/>
      <w:bidi w:val="0"/>
      <w:spacing w:before="0" w:after="0"/>
      <w:jc w:val="left"/>
      <w:textAlignment w:val="baseline"/>
    </w:pPr>
    <w:rPr>
      <w:rFonts w:ascii="Liberation Serif;Times New Roma" w:hAnsi="Liberation Serif;Times New Roma" w:eastAsia="Segoe UI" w:cs="Tahoma"/>
      <w:color w:val="000000"/>
      <w:kern w:val="2"/>
      <w:sz w:val="24"/>
      <w:szCs w:val="24"/>
      <w:lang w:val="uk-UA" w:eastAsia="zh-CN" w:bidi="hi-IN"/>
    </w:rPr>
  </w:style>
  <w:style w:type="paragraph" w:styleId="Style20">
    <w:name w:val="Цитати"/>
    <w:basedOn w:val="Normal"/>
    <w:qFormat/>
    <w:pPr>
      <w:spacing w:before="0" w:after="283"/>
      <w:ind w:left="567" w:right="567" w:hanging="0"/>
    </w:pPr>
    <w:rPr/>
  </w:style>
  <w:style w:type="paragraph" w:styleId="Textbody">
    <w:name w:val="Text body"/>
    <w:basedOn w:val="Standard"/>
    <w:qFormat/>
    <w:pPr>
      <w:spacing w:lineRule="auto" w:line="276" w:before="0" w:after="283"/>
    </w:pPr>
    <w:rPr/>
  </w:style>
  <w:style w:type="paragraph" w:styleId="Style21">
    <w:name w:val="Вміст таблиці"/>
    <w:basedOn w:val="Normal"/>
    <w:qFormat/>
    <w:pPr>
      <w:widowControl w:val="false"/>
      <w:suppressLineNumbers/>
    </w:pPr>
    <w:rPr/>
  </w:style>
  <w:style w:type="paragraph" w:styleId="Style22">
    <w:name w:val="Заголовок таблиці"/>
    <w:basedOn w:val="Style21"/>
    <w:qFormat/>
    <w:pPr>
      <w:suppressLineNumbers/>
      <w:jc w:val="center"/>
    </w:pPr>
    <w:rPr>
      <w:b/>
      <w:bCs/>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2">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l_nova@ukr.net"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792</TotalTime>
  <Application>LibreOffice/7.3.0.3$Windows_X86_64 LibreOffice_project/0f246aa12d0eee4a0f7adcefbf7c878fc2238db3</Application>
  <AppVersion>15.0000</AppVersion>
  <Pages>22</Pages>
  <Words>6703</Words>
  <Characters>46068</Characters>
  <CharactersWithSpaces>52624</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2023-10-31T10:38:26Z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