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ДОДАТОК № 1</w:t>
      </w:r>
    </w:p>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r>
    </w:p>
    <w:p>
      <w:pPr>
        <w:spacing w:after="0" w:line="240" w:lineRule="auto"/>
        <w:jc w:val="center"/>
        <w:widowControl w:val="0"/>
        <w:rPr>
          <w:rFonts w:ascii="Times New Roman" w:hAnsi="Times New Roman"/>
          <w:sz w:val="24"/>
          <w:szCs w:val="24"/>
          <w:vertAlign w:val="superscript"/>
          <w:lang w:val="uk-ua" w:eastAsia="ru-ru"/>
        </w:rPr>
      </w:pPr>
      <w:r>
        <w:rPr>
          <w:rFonts w:ascii="Times New Roman" w:hAnsi="Times New Roman"/>
          <w:b/>
          <w:sz w:val="24"/>
          <w:szCs w:val="24"/>
          <w:lang w:val="uk-ua" w:eastAsia="ru-ru"/>
        </w:rPr>
        <w:t>ФОРМА “ЦІНОВА ПРОПОЗИЦІЯ”</w:t>
      </w:r>
      <w:r>
        <w:rPr>
          <w:rFonts w:ascii="Times New Roman" w:hAnsi="Times New Roman"/>
          <w:sz w:val="24"/>
          <w:szCs w:val="24"/>
          <w:vertAlign w:val="superscript"/>
          <w:lang w:val="uk-ua" w:eastAsia="ru-ru"/>
        </w:rPr>
      </w:r>
    </w:p>
    <w:p>
      <w:pPr>
        <w:ind w:firstLine="709"/>
        <w:spacing w:after="0" w:line="240" w:lineRule="auto"/>
        <w:jc w:val="center"/>
        <w:widowControl w:val="0"/>
        <w:rPr>
          <w:rFonts w:ascii="Times New Roman" w:hAnsi="Times New Roman"/>
          <w:sz w:val="24"/>
          <w:szCs w:val="24"/>
          <w:lang w:val="uk-ua" w:eastAsia="ru-ru"/>
        </w:rPr>
      </w:pPr>
      <w:r>
        <w:rPr>
          <w:rFonts w:ascii="Times New Roman" w:hAnsi="Times New Roman"/>
          <w:i/>
          <w:sz w:val="24"/>
          <w:szCs w:val="24"/>
          <w:lang w:val="uk-ua" w:eastAsia="ru-ru"/>
        </w:rPr>
        <w:t xml:space="preserve">(форма, яка подається учасником на фірмовому бланку (для юридичних осіб) </w:t>
      </w:r>
      <w:r>
        <w:rPr>
          <w:rFonts w:ascii="Times New Roman" w:hAnsi="Times New Roman"/>
          <w:sz w:val="24"/>
          <w:szCs w:val="24"/>
          <w:lang w:val="uk-ua" w:eastAsia="ru-ru"/>
        </w:rPr>
      </w:r>
    </w:p>
    <w:p>
      <w:pPr>
        <w:spacing w:after="0" w:line="240" w:lineRule="auto"/>
        <w:jc w:val="both"/>
        <w:rPr>
          <w:rFonts w:ascii="Times New Roman" w:hAnsi="Times New Roman"/>
          <w:b/>
          <w:sz w:val="24"/>
          <w:szCs w:val="24"/>
          <w:shd w:val="clear" w:fill="ffffff"/>
          <w:lang w:val="uk-ua" w:eastAsia="ru-ru"/>
        </w:rPr>
      </w:pPr>
      <w:r>
        <w:rPr>
          <w:rFonts w:ascii="Times New Roman" w:hAnsi="Times New Roman"/>
          <w:sz w:val="24"/>
          <w:szCs w:val="24"/>
          <w:lang w:val="uk-ua" w:eastAsia="ru-ru"/>
        </w:rPr>
        <w:t xml:space="preserve">Уважно вивчивши тендерну документацію, цим документом подаємо на участь у торгах щодо закупівлі </w:t>
      </w:r>
      <w:r>
        <w:rPr>
          <w:rFonts w:ascii="Times New Roman" w:hAnsi="Times New Roman"/>
          <w:b/>
          <w:bCs/>
          <w:sz w:val="24"/>
          <w:szCs w:val="24"/>
          <w:lang w:val="uk-ua" w:eastAsia="ru-ru"/>
        </w:rPr>
        <w:t>Послуг з проведення комплексних медичних оглядів</w:t>
      </w:r>
      <w:r>
        <w:rPr>
          <w:rFonts w:ascii="Times New Roman" w:hAnsi="Times New Roman"/>
          <w:sz w:val="24"/>
          <w:szCs w:val="24"/>
          <w:lang w:val="uk-ua" w:eastAsia="ru-ru"/>
        </w:rPr>
        <w:t xml:space="preserve"> </w:t>
      </w:r>
      <w:r>
        <w:rPr>
          <w:rFonts w:ascii="Times New Roman" w:hAnsi="Times New Roman"/>
          <w:b/>
          <w:sz w:val="24"/>
          <w:szCs w:val="24"/>
          <w:shd w:val="clear" w:fill="ffffff"/>
          <w:lang w:val="uk-ua" w:eastAsia="ru-ru"/>
        </w:rPr>
        <w:t>Код національного класифікатора України ДК 021:2015 “Єдиний закупівельний словник”</w:t>
      </w:r>
      <w:r>
        <w:rPr>
          <w:rFonts w:ascii="Times New Roman" w:hAnsi="Times New Roman"/>
          <w:b/>
          <w:sz w:val="24"/>
          <w:szCs w:val="24"/>
          <w:shd w:val="clear" w:fill="ffffff"/>
          <w:lang w:val="uk-ua" w:eastAsia="ru-ru"/>
        </w:rPr>
        <w:t xml:space="preserve"> - </w:t>
      </w:r>
      <w:r>
        <w:rPr>
          <w:rFonts w:ascii="Times New Roman" w:hAnsi="Times New Roman"/>
          <w:b/>
          <w:sz w:val="24"/>
          <w:szCs w:val="24"/>
          <w:shd w:val="clear" w:fill="ffffff"/>
          <w:lang w:val="uk-ua" w:eastAsia="ru-ru"/>
        </w:rPr>
        <w:t>85110000-3 Послуги лікувальних закладів та супутні послуги</w:t>
      </w:r>
      <w:r>
        <w:rPr>
          <w:rFonts w:ascii="Times New Roman" w:hAnsi="Times New Roman"/>
          <w:b/>
          <w:sz w:val="24"/>
          <w:szCs w:val="24"/>
          <w:lang w:val="uk-ua" w:eastAsia="ru-ru"/>
        </w:rPr>
        <w:t xml:space="preserve">, </w:t>
      </w:r>
      <w:r>
        <w:rPr>
          <w:rFonts w:ascii="Times New Roman" w:hAnsi="Times New Roman"/>
          <w:sz w:val="24"/>
          <w:szCs w:val="24"/>
          <w:lang w:val="uk-ua" w:eastAsia="ru-ru"/>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r>
        <w:rPr>
          <w:rFonts w:ascii="Times New Roman" w:hAnsi="Times New Roman"/>
          <w:b/>
          <w:sz w:val="24"/>
          <w:szCs w:val="24"/>
          <w:shd w:val="clear" w:fill="ffffff"/>
          <w:lang w:val="uk-ua" w:eastAsia="ru-ru"/>
        </w:rPr>
      </w:r>
    </w:p>
    <w:p>
      <w:pPr>
        <w:ind w:firstLine="709"/>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Повне найменування учасника__________________________</w:t>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Адреса (юридична і фактична) _________________________</w:t>
      </w:r>
      <w:r>
        <w:rPr>
          <w:rFonts w:ascii="Times New Roman" w:hAnsi="Times New Roman"/>
          <w:sz w:val="24"/>
          <w:szCs w:val="24"/>
          <w:u w:color="auto" w:val="single"/>
          <w:lang w:val="uk-ua" w:eastAsia="ru-ru"/>
        </w:rPr>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Телефон (факс) ______________________________________</w:t>
      </w:r>
      <w:r>
        <w:rPr>
          <w:rFonts w:ascii="Times New Roman" w:hAnsi="Times New Roman"/>
          <w:sz w:val="24"/>
          <w:szCs w:val="24"/>
          <w:u w:color="auto" w:val="single"/>
          <w:lang w:val="uk-ua" w:eastAsia="ru-ru"/>
        </w:rPr>
      </w:r>
    </w:p>
    <w:p>
      <w:pPr>
        <w:ind w:firstLine="709"/>
        <w:spacing w:after="0" w:line="240" w:lineRule="auto"/>
        <w:jc w:val="both"/>
        <w:rPr>
          <w:rFonts w:ascii="Times New Roman" w:hAnsi="Times New Roman" w:eastAsia="Times New Roman"/>
          <w:sz w:val="24"/>
          <w:szCs w:val="24"/>
          <w:lang w:val="uk-ua" w:eastAsia="ru-ru"/>
        </w:rPr>
      </w:pPr>
      <w:r>
        <w:rPr>
          <w:rFonts w:ascii="Times New Roman" w:hAnsi="Times New Roman"/>
          <w:sz w:val="24"/>
          <w:szCs w:val="24"/>
          <w:lang w:val="uk-ua" w:eastAsia="ru-ru"/>
        </w:rPr>
        <w:t>Е-mail ______________________________________________</w:t>
      </w:r>
      <w:r>
        <w:rPr>
          <w:rFonts w:ascii="Times New Roman" w:hAnsi="Times New Roman" w:eastAsia="Times New Roman"/>
          <w:b/>
          <w:sz w:val="24"/>
          <w:szCs w:val="24"/>
          <w:lang w:val="uk-ua" w:eastAsia="uk-ua"/>
        </w:rPr>
        <w:t xml:space="preserve"> </w:t>
      </w:r>
      <w:r/>
      <w:bookmarkStart w:id="0" w:name="_GoBack"/>
      <w:r/>
      <w:bookmarkEnd w:id="0"/>
      <w:r/>
      <w:r>
        <w:rPr>
          <w:rFonts w:ascii="Times New Roman" w:hAnsi="Times New Roman" w:eastAsia="Times New Roman"/>
          <w:sz w:val="24"/>
          <w:szCs w:val="24"/>
          <w:lang w:val="uk-ua" w:eastAsia="ru-ru"/>
        </w:rPr>
      </w:r>
    </w:p>
    <w:tbl>
      <w:tblPr>
        <w:tblStyle w:val="NormalTable"/>
        <w:name w:val="Таблиця1"/>
        <w:tabOrder w:val="0"/>
        <w:jc w:val="center"/>
        <w:tblInd w:w="0" w:type="dxa"/>
        <w:tblW w:w="9356" w:type="dxa"/>
        <w:tblLook w:val="01E0" w:firstRow="1" w:lastRow="1" w:firstColumn="1" w:lastColumn="1" w:noHBand="0" w:noVBand="0"/>
      </w:tblPr>
      <w:tblGrid>
        <w:gridCol w:w="374"/>
        <w:gridCol w:w="4556"/>
        <w:gridCol w:w="1095"/>
        <w:gridCol w:w="1160"/>
        <w:gridCol w:w="1075"/>
        <w:gridCol w:w="1"/>
        <w:gridCol w:w="1095"/>
      </w:tblGrid>
      <w:tr>
        <w:trPr>
          <w:tblHeader w:val="0"/>
          <w:cantSplit w:val="0"/>
          <w:trHeight w:val="0" w:hRule="auto"/>
        </w:trPr>
        <w:tc>
          <w:tcPr>
            <w:tcW w:w="374" w:type="dxa"/>
            <w:tcMar>
              <w:left w:w="28" w:type="dxa"/>
              <w:right w:w="28" w:type="dxa"/>
            </w:tcMar>
            <w:tmTcPr id="1712321833" protected="0"/>
          </w:tcPr>
          <w:p>
            <w:pPr>
              <w:spacing w:after="0" w:line="240" w:lineRule="atLeast"/>
              <w:jc w:val="both"/>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 з/п</w:t>
            </w:r>
          </w:p>
        </w:tc>
        <w:tc>
          <w:tcPr>
            <w:tcW w:w="4556" w:type="dxa"/>
            <w:tcMar>
              <w:left w:w="28" w:type="dxa"/>
              <w:right w:w="28" w:type="dxa"/>
            </w:tcMar>
            <w:tmTcPr id="1712321833" protected="0"/>
          </w:tcPr>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Найменування</w:t>
            </w:r>
          </w:p>
        </w:tc>
        <w:tc>
          <w:tcPr>
            <w:tcW w:w="1095" w:type="dxa"/>
            <w:tcMar>
              <w:left w:w="28" w:type="dxa"/>
              <w:right w:w="28" w:type="dxa"/>
            </w:tcMar>
            <w:tmTcPr id="1712321833" protected="0"/>
          </w:tcPr>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Одиниця виміру</w:t>
            </w:r>
          </w:p>
        </w:tc>
        <w:tc>
          <w:tcPr>
            <w:tcW w:w="1160" w:type="dxa"/>
            <w:tcMar>
              <w:left w:w="28" w:type="dxa"/>
              <w:right w:w="28" w:type="dxa"/>
            </w:tcMar>
            <w:tmTcPr id="1712321833" protected="0"/>
          </w:tcPr>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Кількість</w:t>
            </w:r>
          </w:p>
        </w:tc>
        <w:tc>
          <w:tcPr>
            <w:tcW w:w="1076" w:type="dxa"/>
            <w:gridSpan w:val="2"/>
            <w:tcMar>
              <w:left w:w="28" w:type="dxa"/>
              <w:right w:w="28" w:type="dxa"/>
            </w:tcMar>
            <w:tmTcPr id="1712321833" protected="0"/>
          </w:tcPr>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Ціна за одиницю з ПДВ*</w:t>
            </w:r>
          </w:p>
        </w:tc>
        <w:tc>
          <w:tcPr>
            <w:tcW w:w="1095" w:type="dxa"/>
            <w:tcMar>
              <w:left w:w="28" w:type="dxa"/>
              <w:right w:w="28" w:type="dxa"/>
            </w:tcMar>
            <w:tmTcPr id="1712321833" protected="0"/>
          </w:tcPr>
          <w:p>
            <w:pPr>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Загальна вартість з ПДВ*</w:t>
            </w:r>
          </w:p>
        </w:tc>
      </w:tr>
      <w:tr>
        <w:trPr>
          <w:tblHeader w:val="0"/>
          <w:cantSplit w:val="0"/>
          <w:trHeight w:val="165" w:hRule="atLeast"/>
        </w:trPr>
        <w:tc>
          <w:tcPr>
            <w:tcW w:w="374" w:type="dxa"/>
            <w:tcMar>
              <w:left w:w="28" w:type="dxa"/>
              <w:right w:w="28" w:type="dxa"/>
            </w:tcMar>
            <w:tmTcPr id="1712321833" protected="0"/>
          </w:tcPr>
          <w:p>
            <w:pPr>
              <w:numPr>
                <w:ilvl w:val="0"/>
                <w:numId w:val="1"/>
              </w:numPr>
              <w:ind w:left="560" w:right="1" w:hanging="360"/>
              <w:spacing w:after="0" w:line="240" w:lineRule="atLeast"/>
              <w:jc w:val="right"/>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c>
          <w:tcPr>
            <w:tcW w:w="4556" w:type="dxa"/>
            <w:tcMar>
              <w:left w:w="28" w:type="dxa"/>
              <w:right w:w="28" w:type="dxa"/>
            </w:tcMar>
            <w:tmTcPr id="1712321833" protected="0"/>
          </w:tcPr>
          <w:p>
            <w:pPr>
              <w:spacing w:after="0" w:line="240" w:lineRule="auto"/>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t>Медичний огляд лікарем-психофізіологом</w:t>
            </w:r>
          </w:p>
        </w:tc>
        <w:tc>
          <w:tcPr>
            <w:tcW w:w="1095" w:type="dxa"/>
            <w:tcMar>
              <w:left w:w="28" w:type="dxa"/>
              <w:right w:w="28" w:type="dxa"/>
            </w:tcMar>
            <w:tmTcPr id="1712321833" protected="0"/>
          </w:tcPr>
          <w:p>
            <w:pPr>
              <w:spacing w:after="0" w:line="240" w:lineRule="auto"/>
              <w:jc w:val="center"/>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t>послуга</w:t>
            </w:r>
          </w:p>
        </w:tc>
        <w:tc>
          <w:tcPr>
            <w:tcW w:w="1160" w:type="dxa"/>
            <w:tcMar>
              <w:left w:w="28" w:type="dxa"/>
              <w:right w:w="28" w:type="dxa"/>
            </w:tcMar>
            <w:tmTcPr id="1712321833" protected="0"/>
          </w:tcPr>
          <w:p>
            <w:pPr>
              <w:spacing w:after="0" w:line="240" w:lineRule="auto"/>
              <w:jc w:val="center"/>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t>298</w:t>
            </w:r>
          </w:p>
        </w:tc>
        <w:tc>
          <w:tcPr>
            <w:tcW w:w="1076" w:type="dxa"/>
            <w:gridSpan w:val="2"/>
            <w:tcMar>
              <w:left w:w="28" w:type="dxa"/>
              <w:right w:w="28" w:type="dxa"/>
            </w:tcMar>
            <w:tmTcPr id="1712321833" protected="0"/>
          </w:tcPr>
          <w:p>
            <w:pPr>
              <w:ind w:right="1" w:firstLine="567"/>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c>
          <w:tcPr>
            <w:tcW w:w="1095" w:type="dxa"/>
            <w:tcMar>
              <w:left w:w="28" w:type="dxa"/>
              <w:right w:w="28" w:type="dxa"/>
            </w:tcMar>
            <w:tmTcPr id="1712321833" protected="0"/>
          </w:tcPr>
          <w:p>
            <w:pPr>
              <w:ind w:right="1" w:firstLine="567"/>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r>
      <w:tr>
        <w:trPr>
          <w:tblHeader w:val="0"/>
          <w:cantSplit w:val="0"/>
          <w:trHeight w:val="773" w:hRule="atLeast"/>
        </w:trPr>
        <w:tc>
          <w:tcPr>
            <w:tcW w:w="374" w:type="dxa"/>
            <w:tcMar>
              <w:left w:w="28" w:type="dxa"/>
              <w:right w:w="28" w:type="dxa"/>
            </w:tcMar>
            <w:tmTcPr id="1712321833" protected="0"/>
          </w:tcPr>
          <w:p>
            <w:pPr>
              <w:numPr>
                <w:ilvl w:val="0"/>
                <w:numId w:val="1"/>
              </w:numPr>
              <w:ind w:left="560" w:right="1" w:hanging="360"/>
              <w:spacing w:after="0" w:line="240" w:lineRule="atLeast"/>
              <w:jc w:val="right"/>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c>
          <w:tcPr>
            <w:tcW w:w="4556" w:type="dxa"/>
            <w:tcMar>
              <w:left w:w="28" w:type="dxa"/>
              <w:right w:w="28" w:type="dxa"/>
            </w:tcMar>
            <w:tmTcPr id="1712321833" protected="0"/>
          </w:tcPr>
          <w:p>
            <w:pPr>
              <w:spacing w:after="0" w:line="240" w:lineRule="auto"/>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Психіатричний огляд на предмет вживання психоактивних речовин з видачею довідки за формою 100-2/о</w:t>
            </w:r>
          </w:p>
        </w:tc>
        <w:tc>
          <w:tcPr>
            <w:tcW w:w="1095" w:type="dxa"/>
            <w:tcMar>
              <w:left w:w="28" w:type="dxa"/>
              <w:right w:w="28" w:type="dxa"/>
            </w:tcMar>
            <w:tmTcPr id="1712321833" protected="0"/>
          </w:tcPr>
          <w:p>
            <w:pPr>
              <w:spacing w:after="0" w:line="240" w:lineRule="auto"/>
              <w:jc w:val="center"/>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послуга</w:t>
            </w:r>
          </w:p>
        </w:tc>
        <w:tc>
          <w:tcPr>
            <w:tcW w:w="1160" w:type="dxa"/>
            <w:tcMar>
              <w:left w:w="28" w:type="dxa"/>
              <w:right w:w="28" w:type="dxa"/>
            </w:tcMar>
            <w:tmTcPr id="1712321833" protected="0"/>
          </w:tcPr>
          <w:p>
            <w:pPr>
              <w:spacing w:after="0" w:line="240" w:lineRule="auto"/>
              <w:jc w:val="center"/>
              <w:rPr>
                <w:rFonts w:ascii="Times New Roman" w:hAnsi="Times New Roman" w:eastAsia="Times New Roman"/>
                <w:color w:val="000000"/>
                <w:sz w:val="24"/>
                <w:szCs w:val="24"/>
                <w:lang w:val="uk-ua" w:eastAsia="uk-ua"/>
              </w:rPr>
            </w:pPr>
            <w:r>
              <w:rPr>
                <w:rFonts w:ascii="Times New Roman" w:hAnsi="Times New Roman" w:eastAsia="Times New Roman"/>
                <w:color w:val="000000"/>
                <w:sz w:val="24"/>
                <w:szCs w:val="24"/>
                <w:lang w:val="uk-ua" w:eastAsia="uk-ua"/>
              </w:rPr>
              <w:t>298</w:t>
            </w:r>
          </w:p>
        </w:tc>
        <w:tc>
          <w:tcPr>
            <w:tcW w:w="1076" w:type="dxa"/>
            <w:gridSpan w:val="2"/>
            <w:tcMar>
              <w:left w:w="28" w:type="dxa"/>
              <w:right w:w="28" w:type="dxa"/>
            </w:tcMar>
            <w:tmTcPr id="1712321833" protected="0"/>
          </w:tcPr>
          <w:p>
            <w:pPr>
              <w:ind w:right="1" w:firstLine="567"/>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c>
          <w:tcPr>
            <w:tcW w:w="1095" w:type="dxa"/>
            <w:tcMar>
              <w:left w:w="28" w:type="dxa"/>
              <w:right w:w="28" w:type="dxa"/>
            </w:tcMar>
            <w:tmTcPr id="1712321833" protected="0"/>
          </w:tcPr>
          <w:p>
            <w:pPr>
              <w:ind w:right="1" w:firstLine="567"/>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p>
            <w:pPr>
              <w:spacing w:after="0" w:line="240" w:lineRule="auto"/>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r>
          </w:p>
          <w:p>
            <w:pPr>
              <w:spacing w:after="0" w:line="240" w:lineRule="auto"/>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r>
          </w:p>
          <w:p>
            <w:pPr>
              <w:spacing w:after="0" w:line="240" w:lineRule="auto"/>
              <w:jc w:val="center"/>
              <w:rPr>
                <w:rFonts w:ascii="Times New Roman" w:hAnsi="Times New Roman" w:eastAsia="Times New Roman"/>
                <w:sz w:val="24"/>
                <w:szCs w:val="24"/>
                <w:lang w:val="uk-ua" w:eastAsia="uk-ua"/>
              </w:rPr>
            </w:pPr>
            <w:r>
              <w:rPr>
                <w:rFonts w:ascii="Times New Roman" w:hAnsi="Times New Roman" w:eastAsia="Times New Roman"/>
                <w:sz w:val="24"/>
                <w:szCs w:val="24"/>
                <w:lang w:val="uk-ua" w:eastAsia="uk-ua"/>
              </w:rPr>
            </w:r>
          </w:p>
        </w:tc>
      </w:tr>
      <w:tr>
        <w:trPr>
          <w:tblHeader w:val="0"/>
          <w:cantSplit w:val="0"/>
          <w:trHeight w:val="165" w:hRule="atLeast"/>
        </w:trPr>
        <w:tc>
          <w:tcPr>
            <w:tcW w:w="9356" w:type="dxa"/>
            <w:gridSpan w:val="7"/>
            <w:tcMar>
              <w:left w:w="28" w:type="dxa"/>
              <w:right w:w="28" w:type="dxa"/>
            </w:tcMar>
            <w:tmTcPr id="1712321833" protected="0"/>
          </w:tcPr>
          <w:p>
            <w:pPr>
              <w:ind w:right="1" w:firstLine="567"/>
              <w:spacing w:after="0" w:line="240" w:lineRule="atLeast"/>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Всього з ПДВ*</w:t>
            </w:r>
          </w:p>
        </w:tc>
      </w:tr>
      <w:tr>
        <w:trPr>
          <w:tblHeader w:val="0"/>
          <w:cantSplit w:val="0"/>
          <w:trHeight w:val="165" w:hRule="atLeast"/>
        </w:trPr>
        <w:tc>
          <w:tcPr>
            <w:tcW w:w="8260" w:type="dxa"/>
            <w:gridSpan w:val="5"/>
            <w:tcMar>
              <w:left w:w="28" w:type="dxa"/>
              <w:right w:w="28" w:type="dxa"/>
            </w:tcMar>
            <w:tmTcPr id="1712321833" protected="0"/>
          </w:tcPr>
          <w:p>
            <w:pPr>
              <w:ind w:right="1" w:firstLine="567"/>
              <w:spacing w:after="0" w:line="240" w:lineRule="atLeast"/>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t>в т.ч.: ПДВ</w:t>
            </w:r>
          </w:p>
        </w:tc>
        <w:tc>
          <w:tcPr>
            <w:tcW w:w="1096" w:type="dxa"/>
            <w:gridSpan w:val="2"/>
            <w:tcMar>
              <w:left w:w="28" w:type="dxa"/>
              <w:right w:w="28" w:type="dxa"/>
            </w:tcMar>
            <w:tmTcPr id="1712321833" protected="0"/>
          </w:tcPr>
          <w:p>
            <w:pPr>
              <w:ind w:right="1" w:firstLine="567"/>
              <w:spacing w:after="0" w:line="240" w:lineRule="atLeast"/>
              <w:jc w:val="center"/>
              <w:widowControl w:val="0"/>
              <w:rPr>
                <w:rFonts w:ascii="Times New Roman" w:hAnsi="Times New Roman" w:eastAsia="Times New Roman"/>
                <w:b/>
                <w:sz w:val="24"/>
                <w:szCs w:val="24"/>
                <w:lang w:val="uk-ua" w:eastAsia="uk-ua"/>
              </w:rPr>
            </w:pPr>
            <w:r>
              <w:rPr>
                <w:rFonts w:ascii="Times New Roman" w:hAnsi="Times New Roman" w:eastAsia="Times New Roman"/>
                <w:b/>
                <w:sz w:val="24"/>
                <w:szCs w:val="24"/>
                <w:lang w:val="uk-ua" w:eastAsia="uk-ua"/>
              </w:rPr>
            </w:r>
          </w:p>
        </w:tc>
      </w:tr>
      <w:tr>
        <w:trPr>
          <w:tblHeader w:val="0"/>
          <w:cantSplit w:val="0"/>
          <w:trHeight w:val="165" w:hRule="atLeast"/>
        </w:trPr>
        <w:tc>
          <w:tcPr>
            <w:tcW w:w="9356" w:type="dxa"/>
            <w:gridSpan w:val="7"/>
            <w:tcMar>
              <w:left w:w="28" w:type="dxa"/>
              <w:right w:w="28" w:type="dxa"/>
            </w:tcMar>
            <w:tmTcPr id="1712321833" protected="0"/>
          </w:tcPr>
          <w:p>
            <w:pPr>
              <w:ind w:firstLine="567"/>
              <w:spacing w:after="0" w:line="240" w:lineRule="auto"/>
              <w:rPr>
                <w:rFonts w:ascii="Times New Roman" w:hAnsi="Times New Roman" w:eastAsia="Times New Roman"/>
                <w:b/>
                <w:bCs/>
                <w:color w:val="000000"/>
                <w:sz w:val="24"/>
                <w:szCs w:val="24"/>
                <w:lang w:val="uk-ua" w:eastAsia="uk-ua"/>
              </w:rPr>
            </w:pPr>
            <w:r>
              <w:rPr>
                <w:rFonts w:ascii="Times New Roman" w:hAnsi="Times New Roman" w:eastAsia="Times New Roman"/>
                <w:b/>
                <w:color w:val="000000"/>
                <w:sz w:val="24"/>
                <w:szCs w:val="24"/>
                <w:lang w:val="uk-ua" w:eastAsia="uk-ua"/>
              </w:rPr>
              <w:t>Загальна вартість пропозиції</w:t>
            </w:r>
            <w:r>
              <w:rPr>
                <w:rFonts w:ascii="Times New Roman" w:hAnsi="Times New Roman" w:eastAsia="Times New Roman"/>
                <w:b/>
                <w:bCs/>
                <w:color w:val="000000"/>
                <w:sz w:val="24"/>
                <w:szCs w:val="24"/>
                <w:lang w:val="uk-ua" w:eastAsia="uk-ua"/>
              </w:rPr>
              <w:t xml:space="preserve"> </w:t>
            </w:r>
            <w:r>
              <w:rPr>
                <w:rFonts w:ascii="Times New Roman" w:hAnsi="Times New Roman" w:eastAsia="Times New Roman"/>
                <w:b/>
                <w:color w:val="000000"/>
                <w:sz w:val="24"/>
                <w:szCs w:val="24"/>
                <w:lang w:val="uk-ua" w:eastAsia="uk-ua"/>
              </w:rPr>
              <w:t xml:space="preserve">складає: ______________ грн._______коп. </w:t>
              <w:br w:type="textWrapping"/>
              <w:t xml:space="preserve"> </w:t>
            </w:r>
            <w:r>
              <w:rPr>
                <w:rFonts w:ascii="Times New Roman" w:hAnsi="Times New Roman" w:eastAsia="Times New Roman"/>
                <w:b/>
                <w:i/>
                <w:color w:val="000000"/>
                <w:sz w:val="24"/>
                <w:szCs w:val="24"/>
                <w:lang w:val="uk-ua" w:eastAsia="uk-ua"/>
              </w:rPr>
              <w:t>прописом</w:t>
            </w:r>
            <w:r>
              <w:rPr>
                <w:rFonts w:ascii="Times New Roman" w:hAnsi="Times New Roman" w:eastAsia="Times New Roman"/>
                <w:b/>
                <w:color w:val="000000"/>
                <w:sz w:val="24"/>
                <w:szCs w:val="24"/>
                <w:lang w:val="uk-ua" w:eastAsia="uk-ua"/>
              </w:rPr>
              <w:t xml:space="preserve"> ( ___________________________________________ грн. _______________ коп.), в т. ч. ПДВ______________грн._______коп. (</w:t>
            </w:r>
            <w:r>
              <w:rPr>
                <w:rFonts w:ascii="Times New Roman" w:hAnsi="Times New Roman" w:eastAsia="Times New Roman"/>
                <w:b/>
                <w:i/>
                <w:color w:val="000000"/>
                <w:sz w:val="24"/>
                <w:szCs w:val="24"/>
                <w:lang w:val="uk-ua" w:eastAsia="uk-ua"/>
              </w:rPr>
              <w:t>прописом</w:t>
            </w:r>
            <w:r>
              <w:rPr>
                <w:rFonts w:ascii="Times New Roman" w:hAnsi="Times New Roman" w:eastAsia="Times New Roman"/>
                <w:b/>
                <w:color w:val="000000"/>
                <w:sz w:val="24"/>
                <w:szCs w:val="24"/>
                <w:lang w:val="uk-ua" w:eastAsia="uk-ua"/>
              </w:rPr>
              <w:t xml:space="preserve"> ____________________ грн. ______ коп.)</w:t>
            </w:r>
            <w:r>
              <w:rPr>
                <w:rFonts w:ascii="Times New Roman" w:hAnsi="Times New Roman" w:eastAsia="Times New Roman"/>
                <w:b/>
                <w:bCs/>
                <w:color w:val="000000"/>
                <w:sz w:val="24"/>
                <w:szCs w:val="24"/>
                <w:lang w:val="uk-ua" w:eastAsia="uk-ua"/>
              </w:rPr>
            </w:r>
          </w:p>
        </w:tc>
      </w:tr>
    </w:tbl>
    <w:p>
      <w:pPr>
        <w:spacing w:after="0" w:line="240" w:lineRule="auto"/>
        <w:jc w:val="both"/>
        <w:rPr>
          <w:rFonts w:ascii="Times New Roman" w:hAnsi="Times New Roman" w:eastAsia="Times New Roman"/>
          <w:i/>
          <w:iCs/>
          <w:lang w:eastAsia="zh-cn"/>
        </w:rPr>
      </w:pPr>
      <w:r>
        <w:rPr>
          <w:rFonts w:ascii="Times New Roman" w:hAnsi="Times New Roman" w:eastAsia="Times New Roman"/>
          <w:b/>
          <w:i/>
        </w:rPr>
        <w:t>*учасник зазначає суму з ПДВ або без ПДВ</w:t>
      </w:r>
      <w:r>
        <w:rPr>
          <w:rFonts w:ascii="Times New Roman" w:hAnsi="Times New Roman" w:eastAsia="Times New Roman"/>
          <w:i/>
        </w:rPr>
        <w:t>.</w:t>
      </w:r>
      <w:r>
        <w:rPr>
          <w:rFonts w:ascii="Times New Roman" w:hAnsi="Times New Roman" w:eastAsia="Times New Roman"/>
          <w:i/>
          <w:iCs/>
          <w:lang w:eastAsia="zh-cn"/>
        </w:rPr>
      </w:r>
    </w:p>
    <w:p>
      <w:pPr>
        <w:ind w:firstLine="709"/>
        <w:spacing w:after="0" w:line="240" w:lineRule="auto"/>
        <w:jc w:val="both"/>
        <w:rPr>
          <w:rFonts w:ascii="Times New Roman" w:hAnsi="Times New Roman"/>
          <w:sz w:val="24"/>
          <w:szCs w:val="24"/>
          <w:lang w:eastAsia="ru-ru"/>
        </w:rPr>
      </w:pPr>
      <w:r>
        <w:rPr>
          <w:rFonts w:ascii="Times New Roman" w:hAnsi="Times New Roman"/>
          <w:sz w:val="24"/>
          <w:szCs w:val="24"/>
          <w:lang w:eastAsia="ru-ru"/>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3. Ми згодні дотримуватися умов цієї тендерної пропозиції протягом 90 календарних днів з дня кінцевого строку подання тендерних пропозицій.</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6. Ми зобов'язуємося укласти Договір про закупівлю у терміни, що встановлені Постановою про особливості закупівель</w:t>
      </w:r>
    </w:p>
    <w:p>
      <w:pPr>
        <w:ind w:firstLine="1"/>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pPr>
        <w:ind w:firstLine="709"/>
        <w:spacing w:after="0" w:line="240" w:lineRule="auto"/>
        <w:jc w:val="center"/>
        <w:widowControl w:val="0"/>
        <w:rPr>
          <w:rFonts w:ascii="Times New Roman" w:hAnsi="Times New Roman"/>
          <w:i/>
          <w:lang w:eastAsia="ru-ru"/>
        </w:rPr>
      </w:pPr>
      <w:r>
        <w:rPr>
          <w:rFonts w:ascii="Times New Roman" w:hAnsi="Times New Roman"/>
          <w:i/>
          <w:lang w:eastAsia="ru-ru"/>
        </w:rPr>
        <w:t>Посада, прізвище, ініціали, підпис уповноваженої особи учасника, завірені печаткою (прізвище, ініціали, підпис – для фізичної особи).</w:t>
      </w:r>
    </w:p>
    <w:p>
      <w:pPr>
        <w:ind w:firstLine="709"/>
        <w:spacing w:after="0" w:line="240" w:lineRule="auto"/>
        <w:jc w:val="both"/>
        <w:tabs defTabSz="708">
          <w:tab w:val="left" w:pos="2547" w:leader="none"/>
        </w:tabs>
        <w:rPr>
          <w:rFonts w:ascii="Times New Roman" w:hAnsi="Times New Roman"/>
          <w:b/>
          <w:i/>
          <w:lang w:eastAsia="ru-ru"/>
        </w:rPr>
      </w:pPr>
      <w:r>
        <w:rPr>
          <w:rFonts w:ascii="Times New Roman" w:hAnsi="Times New Roman"/>
          <w:b/>
          <w:i/>
          <w:lang w:eastAsia="ru-ru"/>
        </w:rPr>
        <w:t>Примітки:</w:t>
        <w:tab/>
      </w:r>
    </w:p>
    <w:p>
      <w:pPr>
        <w:ind w:firstLine="1"/>
        <w:spacing w:after="0" w:line="240" w:lineRule="auto"/>
        <w:jc w:val="both"/>
        <w:widowControl w:val="0"/>
        <w:rPr>
          <w:rFonts w:ascii="Times New Roman" w:hAnsi="Times New Roman"/>
          <w:i/>
          <w:sz w:val="18"/>
          <w:szCs w:val="18"/>
          <w:lang w:val="uk-ua" w:eastAsia="ru-ru"/>
        </w:rPr>
      </w:pPr>
      <w:r>
        <w:rPr>
          <w:rFonts w:ascii="Times New Roman" w:hAnsi="Times New Roman"/>
          <w:i/>
          <w:sz w:val="18"/>
          <w:szCs w:val="18"/>
          <w:lang w:eastAsia="ru-ru"/>
        </w:rPr>
        <w:t xml:space="preserve">*Ціна тендерної пропозиції подається учасником шляхом заповнення електронної форми </w:t>
      </w:r>
      <w:r>
        <w:rPr>
          <w:rFonts w:ascii="Times New Roman" w:hAnsi="Times New Roman" w:eastAsia="Times New Roman"/>
          <w:i/>
          <w:sz w:val="18"/>
          <w:szCs w:val="18"/>
          <w:lang w:eastAsia="ru-ru"/>
        </w:rPr>
        <w:t>через електронну систему закупівель;</w:t>
      </w:r>
      <w:r>
        <w:rPr>
          <w:rFonts w:ascii="Times New Roman" w:hAnsi="Times New Roman"/>
          <w:i/>
          <w:sz w:val="18"/>
          <w:szCs w:val="18"/>
          <w:lang w:eastAsia="ru-ru"/>
        </w:rPr>
        <w:t xml:space="preserve"> цінова пропозиція за даною формою заповнюється та подається у складі тендерної пропозиції</w:t>
      </w:r>
      <w:r>
        <w:rPr>
          <w:rFonts w:ascii="Times New Roman" w:hAnsi="Times New Roman"/>
          <w:i/>
          <w:sz w:val="18"/>
          <w:szCs w:val="18"/>
          <w:lang w:val="uk-ua" w:eastAsia="ru-ru"/>
        </w:rPr>
        <w:t>.</w:t>
      </w:r>
      <w:r>
        <w:rPr>
          <w:rFonts w:ascii="Times New Roman" w:hAnsi="Times New Roman"/>
          <w:i/>
          <w:sz w:val="18"/>
          <w:szCs w:val="18"/>
          <w:lang w:val="uk-ua" w:eastAsia="ru-ru"/>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swiss"/>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20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4"/>
    <w:tmLastPosCaret>
      <w:tmLastPosPgfIdx w:val="0"/>
      <w:tmLastPosIdx w:val="97"/>
    </w:tmLastPosCaret>
    <w:tmLastPosAnchor>
      <w:tmLastPosPgfIdx w:val="0"/>
      <w:tmLastPosIdx w:val="0"/>
    </w:tmLastPosAnchor>
    <w:tmLastPosTblRect w:left="0" w:top="0" w:right="0" w:bottom="0"/>
  </w:tmLastPos>
  <w:tmAppRevision w:date="1712321833"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5</cp:revision>
  <cp:lastPrinted>2024-04-05T11:57:24Z</cp:lastPrinted>
  <dcterms:created xsi:type="dcterms:W3CDTF">2023-08-02T14:46:00Z</dcterms:created>
  <dcterms:modified xsi:type="dcterms:W3CDTF">2024-04-05T11:57:13Z</dcterms:modified>
</cp:coreProperties>
</file>