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7423C" w14:textId="77777777" w:rsidR="00227278" w:rsidRPr="00090D74" w:rsidRDefault="00227278" w:rsidP="00227278">
      <w:pPr>
        <w:keepNext/>
        <w:keepLines/>
        <w:widowControl w:val="0"/>
        <w:suppressAutoHyphens/>
        <w:jc w:val="right"/>
        <w:outlineLvl w:val="0"/>
        <w:rPr>
          <w:b/>
          <w:bCs/>
          <w:i/>
          <w:kern w:val="32"/>
          <w:sz w:val="22"/>
          <w:szCs w:val="24"/>
          <w:lang w:val="uk-UA" w:eastAsia="zh-CN"/>
        </w:rPr>
      </w:pPr>
      <w:r w:rsidRPr="00090D74">
        <w:rPr>
          <w:b/>
          <w:bCs/>
          <w:i/>
          <w:kern w:val="32"/>
          <w:sz w:val="22"/>
          <w:szCs w:val="24"/>
          <w:lang w:val="uk-UA" w:eastAsia="zh-CN"/>
        </w:rPr>
        <w:t>Додаток 2 до тендерної документації</w:t>
      </w:r>
    </w:p>
    <w:p w14:paraId="31B4B025" w14:textId="77777777" w:rsidR="00227278" w:rsidRPr="00090D74" w:rsidRDefault="00227278" w:rsidP="00227278">
      <w:pPr>
        <w:widowControl w:val="0"/>
        <w:tabs>
          <w:tab w:val="left" w:pos="1080"/>
        </w:tabs>
        <w:jc w:val="center"/>
        <w:rPr>
          <w:b/>
          <w:bCs/>
          <w:color w:val="000000"/>
          <w:sz w:val="22"/>
          <w:szCs w:val="22"/>
          <w:lang w:val="uk-UA" w:eastAsia="uk-UA"/>
        </w:rPr>
      </w:pPr>
    </w:p>
    <w:p w14:paraId="663C97BA" w14:textId="01F0C3EA" w:rsidR="00227278" w:rsidRPr="00090D74" w:rsidRDefault="00227278" w:rsidP="00F933CC">
      <w:pPr>
        <w:widowControl w:val="0"/>
        <w:tabs>
          <w:tab w:val="left" w:pos="1080"/>
        </w:tabs>
        <w:jc w:val="center"/>
        <w:rPr>
          <w:b/>
          <w:bCs/>
          <w:color w:val="000000"/>
          <w:sz w:val="22"/>
          <w:szCs w:val="22"/>
          <w:lang w:val="uk-UA" w:eastAsia="uk-UA"/>
        </w:rPr>
      </w:pPr>
      <w:r w:rsidRPr="00090D74">
        <w:rPr>
          <w:b/>
          <w:bCs/>
          <w:color w:val="000000"/>
          <w:sz w:val="22"/>
          <w:szCs w:val="22"/>
          <w:lang w:val="uk-UA" w:eastAsia="uk-UA"/>
        </w:rPr>
        <w:t xml:space="preserve">КВАЛІФІКАЦІЙНІ КРИТЕРІЇ ПРОЦЕДУРИ ЗАКУПІВЛІ ВІДПОВІДНО ДО </w:t>
      </w:r>
      <w:hyperlink r:id="rId6" w:anchor="n1250" w:history="1">
        <w:r w:rsidRPr="00090D74">
          <w:rPr>
            <w:b/>
            <w:bCs/>
            <w:color w:val="000000"/>
            <w:sz w:val="22"/>
            <w:szCs w:val="22"/>
            <w:lang w:val="uk-UA" w:eastAsia="uk-UA"/>
          </w:rPr>
          <w:t>СТАТТІ 16</w:t>
        </w:r>
      </w:hyperlink>
      <w:r w:rsidRPr="00090D74">
        <w:rPr>
          <w:b/>
          <w:bCs/>
          <w:color w:val="000000"/>
          <w:sz w:val="22"/>
          <w:szCs w:val="22"/>
          <w:lang w:val="uk-UA" w:eastAsia="uk-UA"/>
        </w:rPr>
        <w:t xml:space="preserve"> ЗАКОНУ, ПІДСТАВИ, ВСТАНОВЛЕНІ </w:t>
      </w:r>
      <w:hyperlink r:id="rId7" w:anchor="n1261" w:history="1">
        <w:r w:rsidRPr="00090D74">
          <w:rPr>
            <w:b/>
            <w:bCs/>
            <w:color w:val="000000"/>
            <w:sz w:val="22"/>
            <w:szCs w:val="22"/>
            <w:lang w:val="uk-UA" w:eastAsia="uk-UA"/>
          </w:rPr>
          <w:t>СТАТТЕЮ 17</w:t>
        </w:r>
      </w:hyperlink>
      <w:r w:rsidRPr="00090D74">
        <w:rPr>
          <w:b/>
          <w:bCs/>
          <w:color w:val="000000"/>
          <w:sz w:val="22"/>
          <w:szCs w:val="22"/>
          <w:lang w:val="uk-UA" w:eastAsia="uk-UA"/>
        </w:rPr>
        <w:t xml:space="preserve"> ЗАКОНУ, ТА ІНФОРМАЦІЯ ПРО СПОСІБ ПІДТВЕРДЖЕННЯ ВІДПОВІДНОСТІ УЧАСНИКІВ (ПЕРЕМОЖЦЯ) УСТАНОВЛЕНИМ КРИТЕРІЯМ І ВИМОГАМ ЗГІДНО ІЗ ЗАКОНОДАВСТВОМ</w:t>
      </w:r>
    </w:p>
    <w:p w14:paraId="3D95A14C" w14:textId="77777777" w:rsidR="00227278" w:rsidRPr="00090D74" w:rsidRDefault="00227278" w:rsidP="00227278">
      <w:pPr>
        <w:shd w:val="clear" w:color="auto" w:fill="FFFFFF"/>
        <w:jc w:val="center"/>
        <w:rPr>
          <w:b/>
          <w:bCs/>
          <w:color w:val="000000"/>
          <w:sz w:val="22"/>
          <w:szCs w:val="22"/>
          <w:lang w:val="uk-UA" w:eastAsia="uk-UA"/>
        </w:rPr>
      </w:pPr>
    </w:p>
    <w:p w14:paraId="3059BB93" w14:textId="77777777" w:rsidR="00227278" w:rsidRPr="00090D74" w:rsidRDefault="00227278" w:rsidP="00227278">
      <w:pPr>
        <w:widowControl w:val="0"/>
        <w:tabs>
          <w:tab w:val="left" w:pos="1080"/>
        </w:tabs>
        <w:jc w:val="center"/>
        <w:rPr>
          <w:b/>
          <w:bCs/>
          <w:sz w:val="22"/>
          <w:szCs w:val="22"/>
          <w:lang w:val="uk-UA" w:eastAsia="uk-UA"/>
        </w:rPr>
      </w:pPr>
      <w:r w:rsidRPr="00090D74">
        <w:rPr>
          <w:b/>
          <w:bCs/>
          <w:sz w:val="22"/>
          <w:szCs w:val="22"/>
          <w:lang w:val="uk-UA" w:eastAsia="uk-UA"/>
        </w:rPr>
        <w:t xml:space="preserve">Кваліфікаційні (кваліфікаційний) критерії </w:t>
      </w:r>
      <w:r w:rsidRPr="00090D74">
        <w:rPr>
          <w:b/>
          <w:bCs/>
          <w:sz w:val="22"/>
          <w:szCs w:val="22"/>
          <w:lang w:val="uk-UA"/>
        </w:rPr>
        <w:t>процедури закупівлі</w:t>
      </w:r>
      <w:r w:rsidRPr="00090D74">
        <w:rPr>
          <w:b/>
          <w:bCs/>
          <w:sz w:val="22"/>
          <w:szCs w:val="22"/>
          <w:lang w:val="uk-UA" w:eastAsia="uk-UA"/>
        </w:rPr>
        <w:t xml:space="preserve"> відповідно до </w:t>
      </w:r>
    </w:p>
    <w:p w14:paraId="7D7DBD82" w14:textId="6325F6A7" w:rsidR="00227278" w:rsidRDefault="00090D74" w:rsidP="00227278">
      <w:pPr>
        <w:widowControl w:val="0"/>
        <w:tabs>
          <w:tab w:val="left" w:pos="1080"/>
        </w:tabs>
        <w:jc w:val="center"/>
        <w:rPr>
          <w:b/>
          <w:bCs/>
          <w:sz w:val="22"/>
          <w:szCs w:val="22"/>
          <w:lang w:val="uk-UA" w:eastAsia="uk-UA"/>
        </w:rPr>
      </w:pPr>
      <w:r w:rsidRPr="00090D74">
        <w:rPr>
          <w:b/>
          <w:bCs/>
          <w:sz w:val="22"/>
          <w:szCs w:val="22"/>
          <w:lang w:val="uk-UA" w:eastAsia="uk-UA"/>
        </w:rPr>
        <w:t xml:space="preserve">пункту 45 Особливостей та </w:t>
      </w:r>
      <w:hyperlink r:id="rId8" w:anchor="n1250" w:history="1">
        <w:r w:rsidR="00227278" w:rsidRPr="00090D74">
          <w:rPr>
            <w:b/>
            <w:bCs/>
            <w:sz w:val="22"/>
            <w:szCs w:val="22"/>
            <w:lang w:val="uk-UA" w:eastAsia="uk-UA"/>
          </w:rPr>
          <w:t>статті 16</w:t>
        </w:r>
      </w:hyperlink>
      <w:r w:rsidR="00227278" w:rsidRPr="00090D74">
        <w:rPr>
          <w:b/>
          <w:bCs/>
          <w:sz w:val="22"/>
          <w:szCs w:val="22"/>
          <w:lang w:val="uk-UA" w:eastAsia="uk-UA"/>
        </w:rPr>
        <w:t xml:space="preserve"> Закону</w:t>
      </w:r>
      <w:r w:rsidRPr="00090D74">
        <w:rPr>
          <w:b/>
          <w:bCs/>
          <w:sz w:val="22"/>
          <w:szCs w:val="22"/>
          <w:lang w:val="uk-UA" w:eastAsia="uk-UA"/>
        </w:rPr>
        <w:t xml:space="preserve">, а також </w:t>
      </w:r>
      <w:r w:rsidR="00227278" w:rsidRPr="00090D74">
        <w:rPr>
          <w:b/>
          <w:bCs/>
          <w:sz w:val="22"/>
          <w:szCs w:val="22"/>
          <w:lang w:val="uk-UA" w:eastAsia="uk-UA"/>
        </w:rPr>
        <w:t xml:space="preserve">інформація про спосіб </w:t>
      </w:r>
      <w:r w:rsidR="00227278" w:rsidRPr="00090D74">
        <w:rPr>
          <w:b/>
          <w:bCs/>
          <w:sz w:val="22"/>
          <w:szCs w:val="22"/>
          <w:lang w:val="uk-UA"/>
        </w:rPr>
        <w:t>документального</w:t>
      </w:r>
      <w:r w:rsidR="00227278" w:rsidRPr="00090D74">
        <w:rPr>
          <w:b/>
          <w:bCs/>
          <w:sz w:val="22"/>
          <w:szCs w:val="22"/>
          <w:lang w:val="uk-UA" w:eastAsia="uk-UA"/>
        </w:rPr>
        <w:t xml:space="preserve"> підтвердження відповідності учасників установленим кваліфікаційним (кваліфікаційному) критеріям</w:t>
      </w:r>
    </w:p>
    <w:p w14:paraId="4274585C" w14:textId="046E8649" w:rsidR="00090D74" w:rsidRDefault="00090D74" w:rsidP="00227278">
      <w:pPr>
        <w:widowControl w:val="0"/>
        <w:tabs>
          <w:tab w:val="left" w:pos="1080"/>
        </w:tabs>
        <w:jc w:val="center"/>
        <w:rPr>
          <w:b/>
          <w:bCs/>
          <w:sz w:val="22"/>
          <w:szCs w:val="22"/>
          <w:lang w:val="uk-UA" w:eastAsia="uk-U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6662"/>
      </w:tblGrid>
      <w:tr w:rsidR="00090D74" w:rsidRPr="00090D74" w14:paraId="4A1BAE54" w14:textId="77777777" w:rsidTr="00BB2A77">
        <w:tc>
          <w:tcPr>
            <w:tcW w:w="567" w:type="dxa"/>
            <w:shd w:val="clear" w:color="auto" w:fill="auto"/>
          </w:tcPr>
          <w:p w14:paraId="721C9052" w14:textId="77777777" w:rsidR="00090D74" w:rsidRPr="00090D74" w:rsidRDefault="00090D74" w:rsidP="00090D74">
            <w:pPr>
              <w:jc w:val="center"/>
              <w:rPr>
                <w:b/>
                <w:sz w:val="22"/>
                <w:szCs w:val="22"/>
                <w:lang w:val="uk-UA" w:eastAsia="uk-UA"/>
              </w:rPr>
            </w:pPr>
            <w:r w:rsidRPr="00090D74">
              <w:rPr>
                <w:b/>
                <w:sz w:val="22"/>
                <w:szCs w:val="22"/>
                <w:lang w:val="uk-UA" w:eastAsia="uk-UA"/>
              </w:rPr>
              <w:t>№ з/п</w:t>
            </w:r>
          </w:p>
        </w:tc>
        <w:tc>
          <w:tcPr>
            <w:tcW w:w="2410" w:type="dxa"/>
            <w:shd w:val="clear" w:color="auto" w:fill="auto"/>
          </w:tcPr>
          <w:p w14:paraId="4CD98071" w14:textId="77777777" w:rsidR="00090D74" w:rsidRPr="00090D74" w:rsidRDefault="00090D74" w:rsidP="00090D74">
            <w:pPr>
              <w:jc w:val="center"/>
              <w:rPr>
                <w:b/>
                <w:sz w:val="22"/>
                <w:szCs w:val="22"/>
                <w:lang w:val="uk-UA" w:eastAsia="uk-UA"/>
              </w:rPr>
            </w:pPr>
            <w:r w:rsidRPr="00090D74">
              <w:rPr>
                <w:b/>
                <w:sz w:val="22"/>
                <w:szCs w:val="22"/>
                <w:lang w:val="uk-UA" w:eastAsia="uk-UA"/>
              </w:rPr>
              <w:t>Кваліфікаційний (кваліфікаційні) критерій</w:t>
            </w:r>
          </w:p>
        </w:tc>
        <w:tc>
          <w:tcPr>
            <w:tcW w:w="6662" w:type="dxa"/>
            <w:shd w:val="clear" w:color="auto" w:fill="auto"/>
          </w:tcPr>
          <w:p w14:paraId="4F214332" w14:textId="77777777" w:rsidR="00090D74" w:rsidRPr="00090D74" w:rsidRDefault="00090D74" w:rsidP="00090D74">
            <w:pPr>
              <w:jc w:val="center"/>
              <w:rPr>
                <w:b/>
                <w:sz w:val="22"/>
                <w:szCs w:val="22"/>
                <w:lang w:val="uk-UA" w:eastAsia="uk-UA"/>
              </w:rPr>
            </w:pPr>
            <w:r w:rsidRPr="00090D74">
              <w:rPr>
                <w:b/>
                <w:sz w:val="22"/>
                <w:szCs w:val="22"/>
                <w:lang w:val="uk-UA" w:eastAsia="uk-UA"/>
              </w:rPr>
              <w:t>Інформація про спосіб документального підтвердження учасника кваліфікаційному (кваліфікаційним) критерію</w:t>
            </w:r>
          </w:p>
        </w:tc>
      </w:tr>
      <w:tr w:rsidR="00090D74" w:rsidRPr="00A16776" w14:paraId="75975AC5" w14:textId="77777777" w:rsidTr="00BB2A77">
        <w:tc>
          <w:tcPr>
            <w:tcW w:w="567" w:type="dxa"/>
            <w:shd w:val="clear" w:color="auto" w:fill="auto"/>
          </w:tcPr>
          <w:p w14:paraId="22FBAC33" w14:textId="77777777" w:rsidR="00090D74" w:rsidRPr="00090D74" w:rsidRDefault="00090D74" w:rsidP="00090D74">
            <w:pPr>
              <w:jc w:val="center"/>
              <w:rPr>
                <w:b/>
                <w:sz w:val="22"/>
                <w:szCs w:val="22"/>
                <w:lang w:val="uk-UA" w:eastAsia="uk-UA"/>
              </w:rPr>
            </w:pPr>
            <w:r w:rsidRPr="00090D74">
              <w:rPr>
                <w:bCs/>
                <w:sz w:val="22"/>
                <w:szCs w:val="22"/>
                <w:lang w:val="uk-UA" w:eastAsia="uk-UA"/>
              </w:rPr>
              <w:t>1</w:t>
            </w:r>
          </w:p>
        </w:tc>
        <w:tc>
          <w:tcPr>
            <w:tcW w:w="2410" w:type="dxa"/>
            <w:shd w:val="clear" w:color="auto" w:fill="auto"/>
          </w:tcPr>
          <w:p w14:paraId="2C09F8A5" w14:textId="77777777" w:rsidR="00090D74" w:rsidRPr="00090D74" w:rsidRDefault="00090D74" w:rsidP="00090D74">
            <w:pPr>
              <w:jc w:val="both"/>
              <w:rPr>
                <w:b/>
                <w:sz w:val="22"/>
                <w:szCs w:val="22"/>
                <w:lang w:val="uk-UA" w:eastAsia="uk-UA"/>
              </w:rPr>
            </w:pPr>
            <w:r w:rsidRPr="00090D74">
              <w:rPr>
                <w:bCs/>
                <w:sz w:val="22"/>
                <w:szCs w:val="22"/>
                <w:lang w:val="uk-UA"/>
              </w:rPr>
              <w:t>Наявність в учасника процедури закупівлі обладнання, матеріально-технічної бази та технологій</w:t>
            </w:r>
          </w:p>
        </w:tc>
        <w:tc>
          <w:tcPr>
            <w:tcW w:w="6662" w:type="dxa"/>
            <w:shd w:val="clear" w:color="auto" w:fill="auto"/>
          </w:tcPr>
          <w:p w14:paraId="01500333" w14:textId="79667869" w:rsidR="00090D74" w:rsidRPr="00090D74" w:rsidRDefault="00090D74" w:rsidP="00C87FE5">
            <w:pPr>
              <w:shd w:val="clear" w:color="auto" w:fill="FFFFFF"/>
              <w:ind w:firstLine="172"/>
              <w:jc w:val="both"/>
              <w:rPr>
                <w:b/>
                <w:i/>
                <w:sz w:val="18"/>
                <w:szCs w:val="18"/>
                <w:lang w:val="uk-UA" w:eastAsia="uk-UA"/>
              </w:rPr>
            </w:pPr>
            <w:r w:rsidRPr="00090D74">
              <w:rPr>
                <w:color w:val="000000"/>
                <w:sz w:val="22"/>
                <w:szCs w:val="22"/>
                <w:lang w:val="uk-UA" w:eastAsia="uk-UA"/>
              </w:rPr>
              <w:t>Довідка в довільній формі за підписом уповноваженої посадової особи учасника та печаткою учасника (у разі наявності) або з накладенням КЕП</w:t>
            </w:r>
            <w:r>
              <w:rPr>
                <w:color w:val="000000"/>
                <w:sz w:val="22"/>
                <w:szCs w:val="22"/>
                <w:lang w:val="uk-UA" w:eastAsia="uk-UA"/>
              </w:rPr>
              <w:t>/УЕП</w:t>
            </w:r>
            <w:r w:rsidRPr="00090D74">
              <w:rPr>
                <w:color w:val="000000"/>
                <w:sz w:val="22"/>
                <w:szCs w:val="22"/>
                <w:lang w:val="uk-UA" w:eastAsia="uk-UA"/>
              </w:rPr>
              <w:t xml:space="preserve"> та електронної печатки (у разі наявності) в якій зазначається інформація про наявність в учасника обладнання, </w:t>
            </w:r>
            <w:r w:rsidR="00C87FE5">
              <w:rPr>
                <w:color w:val="000000"/>
                <w:sz w:val="22"/>
                <w:szCs w:val="22"/>
                <w:lang w:val="uk-UA" w:eastAsia="uk-UA"/>
              </w:rPr>
              <w:t>транспортних засобів</w:t>
            </w:r>
            <w:r w:rsidRPr="00090D74">
              <w:rPr>
                <w:color w:val="000000"/>
                <w:sz w:val="22"/>
                <w:szCs w:val="22"/>
                <w:lang w:val="uk-UA" w:eastAsia="uk-UA"/>
              </w:rPr>
              <w:t>, приладів та пристроїв необхідних для надання послуг, що є предметом договору із зазначенням приналежності (власне/орендоване/лізинг)</w:t>
            </w:r>
            <w:r w:rsidR="00A16776">
              <w:rPr>
                <w:color w:val="000000"/>
                <w:sz w:val="22"/>
                <w:szCs w:val="22"/>
                <w:lang w:val="uk-UA" w:eastAsia="uk-UA"/>
              </w:rPr>
              <w:t xml:space="preserve"> </w:t>
            </w:r>
            <w:r w:rsidR="00A16776" w:rsidRPr="00FC3FC9">
              <w:rPr>
                <w:b/>
                <w:bCs/>
                <w:color w:val="000000"/>
                <w:sz w:val="22"/>
                <w:szCs w:val="22"/>
                <w:lang w:val="uk-UA" w:eastAsia="uk-UA"/>
              </w:rPr>
              <w:t>та відповідним документальним підтвердженням права власності або прав</w:t>
            </w:r>
            <w:r w:rsidR="00FC3FC9">
              <w:rPr>
                <w:b/>
                <w:bCs/>
                <w:color w:val="000000"/>
                <w:sz w:val="22"/>
                <w:szCs w:val="22"/>
                <w:lang w:val="uk-UA" w:eastAsia="uk-UA"/>
              </w:rPr>
              <w:t>а</w:t>
            </w:r>
            <w:r w:rsidR="00A16776" w:rsidRPr="00FC3FC9">
              <w:rPr>
                <w:b/>
                <w:bCs/>
                <w:color w:val="000000"/>
                <w:sz w:val="22"/>
                <w:szCs w:val="22"/>
                <w:lang w:val="uk-UA" w:eastAsia="uk-UA"/>
              </w:rPr>
              <w:t xml:space="preserve"> користування</w:t>
            </w:r>
            <w:r w:rsidRPr="00090D74">
              <w:rPr>
                <w:color w:val="000000"/>
                <w:sz w:val="22"/>
                <w:szCs w:val="22"/>
                <w:lang w:val="uk-UA" w:eastAsia="uk-UA"/>
              </w:rPr>
              <w:t>.</w:t>
            </w:r>
          </w:p>
        </w:tc>
      </w:tr>
      <w:tr w:rsidR="00090D74" w:rsidRPr="00090D74" w14:paraId="0BE3AC37" w14:textId="77777777" w:rsidTr="00BB2A77">
        <w:tc>
          <w:tcPr>
            <w:tcW w:w="567" w:type="dxa"/>
            <w:shd w:val="clear" w:color="auto" w:fill="auto"/>
          </w:tcPr>
          <w:p w14:paraId="4A822DF4" w14:textId="77777777" w:rsidR="00090D74" w:rsidRPr="00090D74" w:rsidRDefault="00090D74" w:rsidP="00090D74">
            <w:pPr>
              <w:jc w:val="center"/>
              <w:rPr>
                <w:b/>
                <w:sz w:val="22"/>
                <w:szCs w:val="22"/>
                <w:lang w:val="uk-UA" w:eastAsia="uk-UA"/>
              </w:rPr>
            </w:pPr>
            <w:r w:rsidRPr="00090D74">
              <w:rPr>
                <w:bCs/>
                <w:sz w:val="22"/>
                <w:szCs w:val="22"/>
                <w:lang w:val="uk-UA" w:eastAsia="uk-UA"/>
              </w:rPr>
              <w:t>2</w:t>
            </w:r>
          </w:p>
        </w:tc>
        <w:tc>
          <w:tcPr>
            <w:tcW w:w="2410" w:type="dxa"/>
            <w:shd w:val="clear" w:color="auto" w:fill="auto"/>
          </w:tcPr>
          <w:p w14:paraId="7F29CEB7" w14:textId="77777777" w:rsidR="00090D74" w:rsidRPr="00090D74" w:rsidRDefault="00090D74" w:rsidP="00090D74">
            <w:pPr>
              <w:jc w:val="both"/>
              <w:rPr>
                <w:b/>
                <w:sz w:val="22"/>
                <w:szCs w:val="22"/>
                <w:lang w:val="uk-UA" w:eastAsia="uk-UA"/>
              </w:rPr>
            </w:pPr>
            <w:r w:rsidRPr="00090D74">
              <w:rPr>
                <w:bCs/>
                <w:sz w:val="22"/>
                <w:szCs w:val="22"/>
                <w:lang w:val="uk-UA"/>
              </w:rPr>
              <w:t>Наявність працівників відповідної кваліфікації, які мають необхідні знання та досвід</w:t>
            </w:r>
          </w:p>
        </w:tc>
        <w:tc>
          <w:tcPr>
            <w:tcW w:w="6662" w:type="dxa"/>
            <w:shd w:val="clear" w:color="auto" w:fill="auto"/>
          </w:tcPr>
          <w:p w14:paraId="01EC43F6" w14:textId="346B5810" w:rsidR="00090D74" w:rsidRPr="00090D74" w:rsidRDefault="00090D74" w:rsidP="00090D74">
            <w:pPr>
              <w:ind w:firstLine="152"/>
              <w:jc w:val="both"/>
              <w:rPr>
                <w:sz w:val="22"/>
                <w:szCs w:val="22"/>
                <w:lang w:val="uk-UA" w:eastAsia="uk-UA"/>
              </w:rPr>
            </w:pPr>
            <w:r w:rsidRPr="00090D74">
              <w:rPr>
                <w:sz w:val="22"/>
                <w:szCs w:val="22"/>
                <w:lang w:val="uk-UA" w:eastAsia="uk-UA"/>
              </w:rPr>
              <w:t xml:space="preserve">Довідка в довільній формі, за підписом уповноваженої посадової особи учасника та печаткою учасника (у разі наявності) або з накладенням </w:t>
            </w:r>
            <w:r w:rsidRPr="00090D74">
              <w:rPr>
                <w:color w:val="000000"/>
                <w:sz w:val="22"/>
                <w:szCs w:val="22"/>
                <w:lang w:val="uk-UA" w:eastAsia="uk-UA"/>
              </w:rPr>
              <w:t>КЕП</w:t>
            </w:r>
            <w:r>
              <w:rPr>
                <w:color w:val="000000"/>
                <w:sz w:val="22"/>
                <w:szCs w:val="22"/>
                <w:lang w:val="uk-UA" w:eastAsia="uk-UA"/>
              </w:rPr>
              <w:t>/УЕП</w:t>
            </w:r>
            <w:r w:rsidRPr="00090D74">
              <w:rPr>
                <w:sz w:val="22"/>
                <w:szCs w:val="22"/>
                <w:lang w:val="uk-UA" w:eastAsia="uk-UA"/>
              </w:rPr>
              <w:t xml:space="preserve"> та електронної печатки (у разі наявності) </w:t>
            </w:r>
            <w:r w:rsidRPr="00090D74">
              <w:rPr>
                <w:sz w:val="22"/>
                <w:szCs w:val="22"/>
                <w:lang w:val="uk-UA"/>
              </w:rPr>
              <w:t>з інформацією про наявність в учасника процедури закупівлі</w:t>
            </w:r>
            <w:r w:rsidRPr="00090D74">
              <w:rPr>
                <w:sz w:val="22"/>
                <w:szCs w:val="22"/>
                <w:lang w:val="uk-UA" w:eastAsia="uk-UA"/>
              </w:rPr>
              <w:t xml:space="preserve"> кваліфікованих </w:t>
            </w:r>
            <w:r w:rsidRPr="00090D74">
              <w:rPr>
                <w:sz w:val="22"/>
                <w:szCs w:val="22"/>
                <w:lang w:val="uk-UA"/>
              </w:rPr>
              <w:t xml:space="preserve">працівників, </w:t>
            </w:r>
            <w:r w:rsidRPr="00090D74">
              <w:rPr>
                <w:sz w:val="22"/>
                <w:szCs w:val="22"/>
                <w:u w:val="single"/>
                <w:lang w:val="uk-UA" w:eastAsia="uk-UA"/>
              </w:rPr>
              <w:t>які будуть залучені до безпосереднього надання послуг</w:t>
            </w:r>
            <w:r w:rsidRPr="00090D74">
              <w:rPr>
                <w:sz w:val="22"/>
                <w:szCs w:val="22"/>
                <w:lang w:val="uk-UA" w:eastAsia="uk-UA"/>
              </w:rPr>
              <w:t xml:space="preserve"> </w:t>
            </w:r>
            <w:r w:rsidRPr="00090D74">
              <w:rPr>
                <w:b/>
                <w:sz w:val="22"/>
                <w:szCs w:val="22"/>
                <w:lang w:val="uk-UA" w:eastAsia="uk-UA"/>
              </w:rPr>
              <w:t>із зазначенням наступної інформації щодо кожного працівника учасника:</w:t>
            </w:r>
            <w:r w:rsidRPr="00090D74">
              <w:rPr>
                <w:sz w:val="22"/>
                <w:szCs w:val="22"/>
                <w:lang w:val="uk-UA" w:eastAsia="uk-UA"/>
              </w:rPr>
              <w:t xml:space="preserve"> </w:t>
            </w:r>
          </w:p>
          <w:p w14:paraId="5FF7E30C" w14:textId="77777777" w:rsidR="00090D74" w:rsidRPr="00090D74" w:rsidRDefault="00090D74" w:rsidP="00090D74">
            <w:pPr>
              <w:tabs>
                <w:tab w:val="left" w:pos="639"/>
              </w:tabs>
              <w:ind w:firstLine="294"/>
              <w:jc w:val="both"/>
              <w:rPr>
                <w:sz w:val="22"/>
                <w:szCs w:val="22"/>
                <w:lang w:val="uk-UA"/>
              </w:rPr>
            </w:pPr>
            <w:r w:rsidRPr="00090D74">
              <w:rPr>
                <w:sz w:val="22"/>
                <w:szCs w:val="22"/>
                <w:lang w:val="uk-UA"/>
              </w:rPr>
              <w:t>•</w:t>
            </w:r>
            <w:r w:rsidRPr="00090D74">
              <w:rPr>
                <w:sz w:val="22"/>
                <w:szCs w:val="22"/>
                <w:lang w:val="uk-UA"/>
              </w:rPr>
              <w:tab/>
              <w:t>ПІБ;</w:t>
            </w:r>
          </w:p>
          <w:p w14:paraId="43CE236B" w14:textId="77777777" w:rsidR="00090D74" w:rsidRPr="00090D74" w:rsidRDefault="00090D74" w:rsidP="00090D74">
            <w:pPr>
              <w:tabs>
                <w:tab w:val="left" w:pos="639"/>
              </w:tabs>
              <w:ind w:firstLine="294"/>
              <w:jc w:val="both"/>
              <w:rPr>
                <w:sz w:val="22"/>
                <w:szCs w:val="22"/>
                <w:lang w:val="uk-UA"/>
              </w:rPr>
            </w:pPr>
            <w:r w:rsidRPr="00090D74">
              <w:rPr>
                <w:sz w:val="22"/>
                <w:szCs w:val="22"/>
                <w:lang w:val="uk-UA"/>
              </w:rPr>
              <w:t>•</w:t>
            </w:r>
            <w:r w:rsidRPr="00090D74">
              <w:rPr>
                <w:sz w:val="22"/>
                <w:szCs w:val="22"/>
                <w:lang w:val="uk-UA"/>
              </w:rPr>
              <w:tab/>
              <w:t>посада (кваліфікація/спеціалізація);</w:t>
            </w:r>
          </w:p>
          <w:p w14:paraId="5631AB78" w14:textId="5E5CC62A" w:rsidR="00090D74" w:rsidRPr="00090D74" w:rsidRDefault="00090D74" w:rsidP="00090D74">
            <w:pPr>
              <w:tabs>
                <w:tab w:val="left" w:pos="639"/>
              </w:tabs>
              <w:ind w:firstLine="294"/>
              <w:jc w:val="both"/>
              <w:rPr>
                <w:rFonts w:eastAsia="Arial"/>
                <w:sz w:val="22"/>
                <w:szCs w:val="22"/>
                <w:lang w:val="uk-UA"/>
              </w:rPr>
            </w:pPr>
            <w:r w:rsidRPr="00090D74">
              <w:rPr>
                <w:sz w:val="22"/>
                <w:szCs w:val="22"/>
                <w:lang w:val="uk-UA"/>
              </w:rPr>
              <w:t>•</w:t>
            </w:r>
            <w:r w:rsidR="00E84AFD">
              <w:rPr>
                <w:sz w:val="22"/>
                <w:szCs w:val="22"/>
                <w:lang w:val="uk-UA"/>
              </w:rPr>
              <w:t xml:space="preserve">    </w:t>
            </w:r>
            <w:r w:rsidRPr="00090D74">
              <w:rPr>
                <w:sz w:val="22"/>
                <w:szCs w:val="22"/>
                <w:lang w:val="uk-UA"/>
              </w:rPr>
              <w:t>стаж роботи.</w:t>
            </w:r>
          </w:p>
          <w:p w14:paraId="4A8BEE23" w14:textId="77777777" w:rsidR="00090D74" w:rsidRPr="00090D74" w:rsidRDefault="00090D74" w:rsidP="00090D74">
            <w:pPr>
              <w:ind w:firstLine="294"/>
              <w:jc w:val="both"/>
              <w:rPr>
                <w:rFonts w:eastAsia="Arial"/>
                <w:color w:val="000000"/>
                <w:sz w:val="22"/>
                <w:szCs w:val="22"/>
                <w:lang w:val="uk-UA"/>
              </w:rPr>
            </w:pPr>
            <w:r w:rsidRPr="00090D74">
              <w:rPr>
                <w:rFonts w:eastAsia="Arial"/>
                <w:color w:val="000000"/>
                <w:sz w:val="22"/>
                <w:szCs w:val="22"/>
                <w:lang w:val="uk-UA"/>
              </w:rPr>
              <w:t>Для підтвердження наявності працівників відповідної кваліфікації Учасник повинен надати в складі тендерної пропозиції:</w:t>
            </w:r>
          </w:p>
          <w:p w14:paraId="753BA2DB" w14:textId="09A593DB" w:rsidR="00090D74" w:rsidRPr="00090D74" w:rsidRDefault="00090D74" w:rsidP="00090D74">
            <w:pPr>
              <w:jc w:val="both"/>
              <w:rPr>
                <w:sz w:val="22"/>
                <w:szCs w:val="22"/>
                <w:lang w:val="uk-UA" w:eastAsia="uk-UA"/>
              </w:rPr>
            </w:pPr>
            <w:r w:rsidRPr="00C87FE5">
              <w:rPr>
                <w:b/>
                <w:bCs/>
                <w:sz w:val="22"/>
                <w:szCs w:val="22"/>
                <w:lang w:val="uk-UA" w:eastAsia="uk-UA"/>
              </w:rPr>
              <w:t>копії штатного розпису</w:t>
            </w:r>
            <w:r w:rsidRPr="00090D74">
              <w:rPr>
                <w:sz w:val="22"/>
                <w:szCs w:val="22"/>
                <w:lang w:val="uk-UA" w:eastAsia="uk-UA"/>
              </w:rPr>
              <w:t>.</w:t>
            </w:r>
          </w:p>
        </w:tc>
      </w:tr>
      <w:tr w:rsidR="00090D74" w:rsidRPr="00090D74" w14:paraId="3C405A50" w14:textId="77777777" w:rsidTr="00BB2A77">
        <w:tc>
          <w:tcPr>
            <w:tcW w:w="567" w:type="dxa"/>
            <w:shd w:val="clear" w:color="auto" w:fill="auto"/>
          </w:tcPr>
          <w:p w14:paraId="385268D0" w14:textId="77777777" w:rsidR="00090D74" w:rsidRPr="00090D74" w:rsidRDefault="00090D74" w:rsidP="00090D74">
            <w:pPr>
              <w:jc w:val="center"/>
              <w:rPr>
                <w:bCs/>
                <w:sz w:val="22"/>
                <w:szCs w:val="22"/>
                <w:lang w:val="uk-UA" w:eastAsia="uk-UA"/>
              </w:rPr>
            </w:pPr>
            <w:r w:rsidRPr="00090D74">
              <w:rPr>
                <w:bCs/>
                <w:sz w:val="22"/>
                <w:szCs w:val="22"/>
                <w:lang w:val="uk-UA" w:eastAsia="uk-UA"/>
              </w:rPr>
              <w:t xml:space="preserve">3 </w:t>
            </w:r>
          </w:p>
        </w:tc>
        <w:tc>
          <w:tcPr>
            <w:tcW w:w="2410" w:type="dxa"/>
            <w:shd w:val="clear" w:color="auto" w:fill="auto"/>
          </w:tcPr>
          <w:p w14:paraId="4C8BBB32" w14:textId="77777777" w:rsidR="00090D74" w:rsidRPr="00090D74" w:rsidRDefault="00090D74" w:rsidP="00090D74">
            <w:pPr>
              <w:jc w:val="both"/>
              <w:rPr>
                <w:bCs/>
                <w:sz w:val="22"/>
                <w:szCs w:val="22"/>
                <w:lang w:val="uk-UA"/>
              </w:rPr>
            </w:pPr>
            <w:r w:rsidRPr="00090D74">
              <w:rPr>
                <w:b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r w:rsidRPr="00090D74">
              <w:rPr>
                <w:color w:val="000000"/>
                <w:sz w:val="22"/>
                <w:szCs w:val="22"/>
                <w:lang w:val="uk-UA" w:eastAsia="uk-UA"/>
              </w:rPr>
              <w:t> </w:t>
            </w:r>
          </w:p>
        </w:tc>
        <w:tc>
          <w:tcPr>
            <w:tcW w:w="6662" w:type="dxa"/>
            <w:shd w:val="clear" w:color="auto" w:fill="auto"/>
          </w:tcPr>
          <w:p w14:paraId="27993985" w14:textId="32D301FB" w:rsidR="00090D74" w:rsidRPr="00090D74" w:rsidRDefault="00090D74" w:rsidP="00090D74">
            <w:pPr>
              <w:jc w:val="both"/>
              <w:rPr>
                <w:sz w:val="22"/>
                <w:szCs w:val="22"/>
                <w:lang w:val="uk-UA" w:eastAsia="uk-UA"/>
              </w:rPr>
            </w:pPr>
            <w:r w:rsidRPr="00090D74">
              <w:rPr>
                <w:color w:val="000000"/>
                <w:sz w:val="22"/>
                <w:szCs w:val="22"/>
                <w:lang w:val="uk-UA" w:eastAsia="uk-UA"/>
              </w:rPr>
              <w:t>Довідка в довільній формі за підписом уповноваженої особи учасника та печаткою учасника (у разі наявності) або з накладенням КЕП</w:t>
            </w:r>
            <w:r>
              <w:rPr>
                <w:color w:val="000000"/>
                <w:sz w:val="22"/>
                <w:szCs w:val="22"/>
                <w:lang w:val="uk-UA" w:eastAsia="uk-UA"/>
              </w:rPr>
              <w:t>/УЕП</w:t>
            </w:r>
            <w:r w:rsidRPr="00090D74">
              <w:rPr>
                <w:color w:val="000000"/>
                <w:sz w:val="22"/>
                <w:szCs w:val="22"/>
                <w:lang w:val="uk-UA" w:eastAsia="uk-UA"/>
              </w:rPr>
              <w:t xml:space="preserve"> та електронної печатки (у разі наявності), в якій зазначається інформація про наявність в учасника </w:t>
            </w:r>
            <w:r w:rsidRPr="00090D74">
              <w:rPr>
                <w:color w:val="000000"/>
                <w:sz w:val="22"/>
                <w:szCs w:val="22"/>
                <w:shd w:val="clear" w:color="auto" w:fill="FFFFFF"/>
                <w:lang w:val="uk-UA" w:eastAsia="uk-UA"/>
              </w:rPr>
              <w:t xml:space="preserve">документально підтвердженого досвіду виконання аналогічних за предметом закупівлі договорів </w:t>
            </w:r>
            <w:r w:rsidRPr="00090D74">
              <w:rPr>
                <w:color w:val="000000"/>
                <w:sz w:val="22"/>
                <w:szCs w:val="22"/>
                <w:lang w:val="uk-UA" w:eastAsia="uk-UA"/>
              </w:rPr>
              <w:t>із зазначенням</w:t>
            </w:r>
            <w:r w:rsidRPr="00090D74">
              <w:rPr>
                <w:b/>
                <w:bCs/>
                <w:color w:val="000000"/>
                <w:sz w:val="22"/>
                <w:szCs w:val="22"/>
                <w:lang w:val="uk-UA" w:eastAsia="uk-UA"/>
              </w:rPr>
              <w:t xml:space="preserve"> не менше 2-х договорів укладених за останні 3 роки та наданням копій відповідних договорів </w:t>
            </w:r>
            <w:r w:rsidRPr="001363BC">
              <w:rPr>
                <w:b/>
                <w:bCs/>
                <w:color w:val="000000"/>
                <w:sz w:val="22"/>
                <w:szCs w:val="22"/>
                <w:u w:val="single"/>
                <w:lang w:val="uk-UA" w:eastAsia="uk-UA"/>
              </w:rPr>
              <w:t>та документів, що підтверджують виконання цих договорів в повному обсязі</w:t>
            </w:r>
            <w:r w:rsidRPr="00090D74">
              <w:rPr>
                <w:b/>
                <w:bCs/>
                <w:color w:val="000000"/>
                <w:sz w:val="22"/>
                <w:szCs w:val="22"/>
                <w:lang w:val="uk-UA" w:eastAsia="uk-UA"/>
              </w:rPr>
              <w:t>, зокрема копій первинних документів (документа), що визначені в таких договорах </w:t>
            </w:r>
            <w:r w:rsidRPr="00090D74">
              <w:rPr>
                <w:color w:val="000000"/>
                <w:sz w:val="22"/>
                <w:szCs w:val="22"/>
                <w:lang w:val="uk-UA" w:eastAsia="uk-UA"/>
              </w:rPr>
              <w:t xml:space="preserve">(акти наданих послуг тощо) та/або </w:t>
            </w:r>
            <w:r w:rsidRPr="00090D74">
              <w:rPr>
                <w:rFonts w:eastAsia="Arial"/>
                <w:sz w:val="22"/>
                <w:szCs w:val="22"/>
              </w:rPr>
              <w:t>лист</w:t>
            </w:r>
            <w:r w:rsidRPr="00090D74">
              <w:rPr>
                <w:rFonts w:eastAsia="Arial"/>
                <w:sz w:val="22"/>
                <w:szCs w:val="22"/>
                <w:lang w:val="uk-UA"/>
              </w:rPr>
              <w:t>ів</w:t>
            </w:r>
            <w:r w:rsidRPr="00090D74">
              <w:rPr>
                <w:rFonts w:eastAsia="Arial"/>
                <w:sz w:val="22"/>
                <w:szCs w:val="22"/>
              </w:rPr>
              <w:t>-відгук</w:t>
            </w:r>
            <w:r w:rsidRPr="00090D74">
              <w:rPr>
                <w:rFonts w:eastAsia="Arial"/>
                <w:sz w:val="22"/>
                <w:szCs w:val="22"/>
                <w:lang w:val="uk-UA"/>
              </w:rPr>
              <w:t xml:space="preserve">ів, </w:t>
            </w:r>
            <w:r w:rsidRPr="00090D74">
              <w:rPr>
                <w:color w:val="000000"/>
                <w:sz w:val="22"/>
                <w:szCs w:val="22"/>
                <w:lang w:val="uk-UA" w:eastAsia="uk-UA"/>
              </w:rPr>
              <w:t>оформлених на фірмовому бланку Замовник</w:t>
            </w:r>
            <w:r>
              <w:rPr>
                <w:color w:val="000000"/>
                <w:sz w:val="22"/>
                <w:szCs w:val="22"/>
                <w:lang w:val="uk-UA" w:eastAsia="uk-UA"/>
              </w:rPr>
              <w:t>ів</w:t>
            </w:r>
            <w:r w:rsidRPr="00090D74">
              <w:rPr>
                <w:color w:val="000000"/>
                <w:sz w:val="22"/>
                <w:szCs w:val="22"/>
                <w:lang w:val="uk-UA" w:eastAsia="uk-UA"/>
              </w:rPr>
              <w:t xml:space="preserve"> з обов’язковим посиланням на № та дату договору (у разі наявності такого бланка). </w:t>
            </w:r>
            <w:r w:rsidRPr="00090D74">
              <w:rPr>
                <w:rFonts w:eastAsia="Arial"/>
                <w:color w:val="000000"/>
                <w:sz w:val="22"/>
                <w:szCs w:val="22"/>
                <w:shd w:val="clear" w:color="auto" w:fill="FFFFFF"/>
                <w:lang w:val="uk-UA"/>
              </w:rPr>
              <w:t xml:space="preserve">Під аналогічними договорами слід розуміти договори на послуги з </w:t>
            </w:r>
            <w:r w:rsidR="001363BC">
              <w:rPr>
                <w:rFonts w:eastAsia="Arial"/>
                <w:color w:val="000000"/>
                <w:sz w:val="22"/>
                <w:szCs w:val="22"/>
                <w:shd w:val="clear" w:color="auto" w:fill="FFFFFF"/>
                <w:lang w:val="uk-UA"/>
              </w:rPr>
              <w:t>охорони адміністративних будівель</w:t>
            </w:r>
            <w:r w:rsidRPr="00090D74">
              <w:rPr>
                <w:rFonts w:eastAsia="Arial"/>
                <w:color w:val="000000"/>
                <w:sz w:val="22"/>
                <w:szCs w:val="22"/>
                <w:shd w:val="clear" w:color="auto" w:fill="FFFFFF"/>
                <w:lang w:val="uk-UA"/>
              </w:rPr>
              <w:t xml:space="preserve"> (період виконання 2020-2022 роки).</w:t>
            </w:r>
          </w:p>
        </w:tc>
      </w:tr>
    </w:tbl>
    <w:p w14:paraId="1F224F3A" w14:textId="15842B37" w:rsidR="00090D74" w:rsidRDefault="00090D74" w:rsidP="00227278">
      <w:pPr>
        <w:widowControl w:val="0"/>
        <w:tabs>
          <w:tab w:val="left" w:pos="1080"/>
        </w:tabs>
        <w:jc w:val="center"/>
        <w:rPr>
          <w:b/>
          <w:bCs/>
          <w:sz w:val="22"/>
          <w:szCs w:val="22"/>
          <w:lang w:eastAsia="uk-UA"/>
        </w:rPr>
      </w:pPr>
    </w:p>
    <w:p w14:paraId="1BE7BFF6" w14:textId="77777777" w:rsidR="00090D74" w:rsidRPr="002B18A4" w:rsidRDefault="00090D74" w:rsidP="00090D74">
      <w:pPr>
        <w:ind w:firstLine="284"/>
        <w:jc w:val="both"/>
        <w:rPr>
          <w:lang w:val="uk-UA" w:eastAsia="uk-UA"/>
        </w:rPr>
      </w:pPr>
      <w:r w:rsidRPr="002B18A4">
        <w:rPr>
          <w:lang w:val="uk-UA" w:eastAsia="uk-UA"/>
        </w:rPr>
        <w:t>При наданні документів для підтвердження відповідності учасника кваліфікаційним вимогам, учасник може не висвітлювати відомості, які можуть становити комерційну таємницю, у разі якщо це не заважає підтвердженню встановленим кваліфікаційним вимогам.</w:t>
      </w:r>
    </w:p>
    <w:p w14:paraId="24BC071A" w14:textId="77777777" w:rsidR="00090D74" w:rsidRPr="002B18A4" w:rsidRDefault="00090D74" w:rsidP="00090D74">
      <w:pPr>
        <w:ind w:firstLine="284"/>
        <w:jc w:val="both"/>
        <w:rPr>
          <w:lang w:val="uk-UA" w:eastAsia="uk-UA"/>
        </w:rPr>
      </w:pPr>
      <w:r w:rsidRPr="002B18A4">
        <w:rPr>
          <w:lang w:val="uk-UA" w:eastAsia="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6935E7" w14:textId="77777777" w:rsidR="00090D74" w:rsidRPr="002B18A4" w:rsidRDefault="00090D74" w:rsidP="00090D74">
      <w:pPr>
        <w:widowControl w:val="0"/>
        <w:shd w:val="clear" w:color="auto" w:fill="FFFFFF"/>
        <w:tabs>
          <w:tab w:val="left" w:pos="0"/>
          <w:tab w:val="center" w:pos="709"/>
          <w:tab w:val="right" w:pos="8306"/>
        </w:tabs>
        <w:autoSpaceDE w:val="0"/>
        <w:autoSpaceDN w:val="0"/>
        <w:adjustRightInd w:val="0"/>
        <w:ind w:firstLine="284"/>
        <w:jc w:val="both"/>
        <w:rPr>
          <w:b/>
          <w:i/>
          <w:iCs/>
          <w:lang w:val="uk-UA" w:eastAsia="uk-UA"/>
        </w:rPr>
      </w:pPr>
      <w:r w:rsidRPr="002B18A4">
        <w:rPr>
          <w:b/>
          <w:iCs/>
          <w:lang w:val="uk-UA" w:eastAsia="uk-UA"/>
        </w:rPr>
        <w:tab/>
      </w:r>
      <w:r w:rsidRPr="002B18A4">
        <w:rPr>
          <w:b/>
          <w:i/>
          <w:iCs/>
          <w:lang w:val="uk-UA" w:eastAsia="uk-UA"/>
        </w:rPr>
        <w:t xml:space="preserve">У разі участі об’єднання учасників підтвердження відповідності кваліфікаційним критеріям </w:t>
      </w:r>
      <w:r w:rsidRPr="002B18A4">
        <w:rPr>
          <w:b/>
          <w:i/>
          <w:iCs/>
          <w:lang w:val="uk-UA" w:eastAsia="uk-UA"/>
        </w:rPr>
        <w:lastRenderedPageBreak/>
        <w:t>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A7A9661" w14:textId="1073F687" w:rsidR="00090D74" w:rsidRDefault="00090D74" w:rsidP="00227278">
      <w:pPr>
        <w:widowControl w:val="0"/>
        <w:tabs>
          <w:tab w:val="left" w:pos="1080"/>
        </w:tabs>
        <w:jc w:val="center"/>
        <w:rPr>
          <w:b/>
          <w:bCs/>
          <w:sz w:val="22"/>
          <w:szCs w:val="22"/>
          <w:lang w:val="uk-UA" w:eastAsia="uk-UA"/>
        </w:rPr>
      </w:pPr>
    </w:p>
    <w:p w14:paraId="4BC557D5" w14:textId="3471F0D1" w:rsidR="009808D9" w:rsidRDefault="009808D9" w:rsidP="00227278">
      <w:pPr>
        <w:widowControl w:val="0"/>
        <w:tabs>
          <w:tab w:val="left" w:pos="1080"/>
        </w:tabs>
        <w:jc w:val="center"/>
        <w:rPr>
          <w:b/>
          <w:bCs/>
          <w:sz w:val="22"/>
          <w:szCs w:val="22"/>
          <w:lang w:val="uk-UA" w:eastAsia="uk-UA"/>
        </w:rPr>
      </w:pPr>
    </w:p>
    <w:p w14:paraId="12305300" w14:textId="497B7EB4" w:rsidR="009808D9" w:rsidRDefault="009808D9" w:rsidP="00227278">
      <w:pPr>
        <w:widowControl w:val="0"/>
        <w:tabs>
          <w:tab w:val="left" w:pos="1080"/>
        </w:tabs>
        <w:jc w:val="center"/>
        <w:rPr>
          <w:b/>
          <w:bCs/>
          <w:sz w:val="22"/>
          <w:szCs w:val="22"/>
          <w:lang w:val="uk-UA" w:eastAsia="uk-UA"/>
        </w:rPr>
      </w:pPr>
    </w:p>
    <w:p w14:paraId="21B8A78B" w14:textId="3C0F287B" w:rsidR="009808D9" w:rsidRDefault="009808D9" w:rsidP="00227278">
      <w:pPr>
        <w:widowControl w:val="0"/>
        <w:tabs>
          <w:tab w:val="left" w:pos="1080"/>
        </w:tabs>
        <w:jc w:val="center"/>
        <w:rPr>
          <w:b/>
          <w:bCs/>
          <w:sz w:val="22"/>
          <w:szCs w:val="22"/>
          <w:lang w:val="uk-UA" w:eastAsia="uk-UA"/>
        </w:rPr>
      </w:pPr>
    </w:p>
    <w:p w14:paraId="2C90D458" w14:textId="268FF88F" w:rsidR="009808D9" w:rsidRDefault="009808D9" w:rsidP="00227278">
      <w:pPr>
        <w:widowControl w:val="0"/>
        <w:tabs>
          <w:tab w:val="left" w:pos="1080"/>
        </w:tabs>
        <w:jc w:val="center"/>
        <w:rPr>
          <w:b/>
          <w:bCs/>
          <w:sz w:val="22"/>
          <w:szCs w:val="22"/>
          <w:lang w:val="uk-UA" w:eastAsia="uk-UA"/>
        </w:rPr>
      </w:pPr>
    </w:p>
    <w:p w14:paraId="7C3F5DE9" w14:textId="5F4CF558" w:rsidR="009808D9" w:rsidRDefault="009808D9" w:rsidP="00227278">
      <w:pPr>
        <w:widowControl w:val="0"/>
        <w:tabs>
          <w:tab w:val="left" w:pos="1080"/>
        </w:tabs>
        <w:jc w:val="center"/>
        <w:rPr>
          <w:b/>
          <w:bCs/>
          <w:sz w:val="22"/>
          <w:szCs w:val="22"/>
          <w:lang w:val="uk-UA" w:eastAsia="uk-UA"/>
        </w:rPr>
      </w:pPr>
    </w:p>
    <w:p w14:paraId="266D2A48" w14:textId="4C90BECE" w:rsidR="009808D9" w:rsidRDefault="009808D9" w:rsidP="00227278">
      <w:pPr>
        <w:widowControl w:val="0"/>
        <w:tabs>
          <w:tab w:val="left" w:pos="1080"/>
        </w:tabs>
        <w:jc w:val="center"/>
        <w:rPr>
          <w:b/>
          <w:bCs/>
          <w:sz w:val="22"/>
          <w:szCs w:val="22"/>
          <w:lang w:val="uk-UA" w:eastAsia="uk-UA"/>
        </w:rPr>
      </w:pPr>
    </w:p>
    <w:p w14:paraId="67F4C1AC" w14:textId="5B6FA517" w:rsidR="009808D9" w:rsidRDefault="009808D9" w:rsidP="00227278">
      <w:pPr>
        <w:widowControl w:val="0"/>
        <w:tabs>
          <w:tab w:val="left" w:pos="1080"/>
        </w:tabs>
        <w:jc w:val="center"/>
        <w:rPr>
          <w:b/>
          <w:bCs/>
          <w:sz w:val="22"/>
          <w:szCs w:val="22"/>
          <w:lang w:val="uk-UA" w:eastAsia="uk-UA"/>
        </w:rPr>
      </w:pPr>
    </w:p>
    <w:p w14:paraId="651D3BB2" w14:textId="77777777" w:rsidR="009808D9" w:rsidRPr="00090D74" w:rsidRDefault="009808D9" w:rsidP="00227278">
      <w:pPr>
        <w:widowControl w:val="0"/>
        <w:tabs>
          <w:tab w:val="left" w:pos="1080"/>
        </w:tabs>
        <w:jc w:val="center"/>
        <w:rPr>
          <w:b/>
          <w:bCs/>
          <w:sz w:val="22"/>
          <w:szCs w:val="22"/>
          <w:lang w:val="uk-UA" w:eastAsia="uk-UA"/>
        </w:rPr>
      </w:pPr>
    </w:p>
    <w:p w14:paraId="3081F111" w14:textId="77777777" w:rsidR="00227278" w:rsidRPr="00090D74" w:rsidRDefault="00227278" w:rsidP="00227278">
      <w:pPr>
        <w:widowControl w:val="0"/>
        <w:shd w:val="clear" w:color="auto" w:fill="FFFFFF"/>
        <w:tabs>
          <w:tab w:val="left" w:pos="0"/>
          <w:tab w:val="center" w:pos="709"/>
          <w:tab w:val="right" w:pos="8306"/>
        </w:tabs>
        <w:autoSpaceDE w:val="0"/>
        <w:autoSpaceDN w:val="0"/>
        <w:adjustRightInd w:val="0"/>
        <w:ind w:firstLine="567"/>
        <w:jc w:val="center"/>
        <w:rPr>
          <w:b/>
          <w:i/>
          <w:iCs/>
          <w:sz w:val="22"/>
          <w:szCs w:val="22"/>
          <w:lang w:val="uk-UA" w:eastAsia="uk-UA"/>
        </w:rPr>
      </w:pPr>
      <w:bookmarkStart w:id="0" w:name="_Hlk492899894"/>
      <w:bookmarkStart w:id="1" w:name="_Hlk500334979"/>
      <w:r w:rsidRPr="00090D74">
        <w:rPr>
          <w:b/>
          <w:sz w:val="22"/>
          <w:szCs w:val="22"/>
          <w:lang w:val="uk-UA"/>
        </w:rPr>
        <w:t>Інформація про відсутність підстав, визначених у статті 17 Закону</w:t>
      </w:r>
    </w:p>
    <w:p w14:paraId="0409EFCC" w14:textId="77777777" w:rsidR="00227278" w:rsidRPr="00090D74" w:rsidRDefault="00227278" w:rsidP="00227278">
      <w:pPr>
        <w:widowControl w:val="0"/>
        <w:shd w:val="clear" w:color="auto" w:fill="FFFFFF"/>
        <w:tabs>
          <w:tab w:val="left" w:pos="0"/>
          <w:tab w:val="center" w:pos="709"/>
          <w:tab w:val="right" w:pos="8306"/>
        </w:tabs>
        <w:autoSpaceDE w:val="0"/>
        <w:autoSpaceDN w:val="0"/>
        <w:adjustRightInd w:val="0"/>
        <w:ind w:firstLine="567"/>
        <w:jc w:val="center"/>
        <w:rPr>
          <w:b/>
          <w:i/>
          <w:iCs/>
          <w:sz w:val="22"/>
          <w:szCs w:val="22"/>
          <w:lang w:val="uk-UA" w:eastAsia="uk-UA"/>
        </w:rPr>
      </w:pPr>
    </w:p>
    <w:p w14:paraId="0C4117B1" w14:textId="77777777" w:rsidR="00227278" w:rsidRPr="00090D74" w:rsidRDefault="00227278" w:rsidP="00227278">
      <w:pPr>
        <w:widowControl w:val="0"/>
        <w:tabs>
          <w:tab w:val="left" w:pos="1276"/>
        </w:tabs>
        <w:ind w:firstLine="567"/>
        <w:jc w:val="both"/>
        <w:rPr>
          <w:rFonts w:eastAsia="Arial"/>
          <w:sz w:val="22"/>
          <w:szCs w:val="22"/>
          <w:lang w:val="uk-UA"/>
        </w:rPr>
      </w:pPr>
      <w:r w:rsidRPr="00090D74">
        <w:rPr>
          <w:b/>
          <w:bCs/>
          <w:sz w:val="22"/>
          <w:szCs w:val="22"/>
          <w:lang w:val="uk-UA"/>
        </w:rPr>
        <w:t>1.</w:t>
      </w:r>
      <w:r w:rsidRPr="00090D74">
        <w:rPr>
          <w:sz w:val="22"/>
          <w:szCs w:val="22"/>
          <w:lang w:val="uk-UA"/>
        </w:rPr>
        <w:t xml:space="preserve"> </w:t>
      </w:r>
      <w:r w:rsidRPr="00090D74">
        <w:rPr>
          <w:rFonts w:eastAsia="Arial"/>
          <w:b/>
          <w:sz w:val="22"/>
          <w:szCs w:val="22"/>
          <w:lang w:val="uk-UA"/>
        </w:rPr>
        <w:t>Для юридичних осіб, фізичних осіб та фізичних осіб-підприємців на підтвердження</w:t>
      </w:r>
      <w:r w:rsidRPr="00090D74">
        <w:rPr>
          <w:rFonts w:eastAsia="Arial"/>
          <w:b/>
          <w:spacing w:val="1"/>
          <w:sz w:val="22"/>
          <w:szCs w:val="22"/>
          <w:lang w:val="uk-UA"/>
        </w:rPr>
        <w:t xml:space="preserve"> </w:t>
      </w:r>
      <w:r w:rsidRPr="00090D74">
        <w:rPr>
          <w:rFonts w:eastAsia="Arial"/>
          <w:b/>
          <w:sz w:val="22"/>
          <w:szCs w:val="22"/>
          <w:lang w:val="uk-UA"/>
        </w:rPr>
        <w:t xml:space="preserve">відповідності </w:t>
      </w:r>
      <w:r w:rsidRPr="00090D74">
        <w:rPr>
          <w:rFonts w:eastAsia="Arial"/>
          <w:b/>
          <w:sz w:val="22"/>
          <w:szCs w:val="22"/>
          <w:u w:val="single"/>
          <w:lang w:val="uk-UA"/>
        </w:rPr>
        <w:t>учасника</w:t>
      </w:r>
      <w:r w:rsidRPr="00090D74">
        <w:rPr>
          <w:rFonts w:eastAsia="Arial"/>
          <w:b/>
          <w:sz w:val="22"/>
          <w:szCs w:val="22"/>
          <w:lang w:val="uk-UA"/>
        </w:rPr>
        <w:t xml:space="preserve"> процедури закупівлі вимогам, встановленим статтею 17 Закону (крім пункту 13 частини першої статті 17 Закону)</w:t>
      </w:r>
      <w:r w:rsidRPr="00090D74">
        <w:rPr>
          <w:rFonts w:eastAsia="Arial"/>
          <w:sz w:val="22"/>
          <w:szCs w:val="22"/>
          <w:lang w:val="uk-UA"/>
        </w:rPr>
        <w:t>:</w:t>
      </w:r>
    </w:p>
    <w:p w14:paraId="383685B7" w14:textId="77777777" w:rsidR="00227278" w:rsidRPr="00090D74" w:rsidRDefault="00227278" w:rsidP="00227278">
      <w:pPr>
        <w:widowControl w:val="0"/>
        <w:tabs>
          <w:tab w:val="left" w:pos="1276"/>
        </w:tabs>
        <w:ind w:firstLine="567"/>
        <w:jc w:val="both"/>
        <w:rPr>
          <w:sz w:val="22"/>
          <w:szCs w:val="22"/>
          <w:lang w:val="uk-UA"/>
        </w:rPr>
      </w:pPr>
      <w:r w:rsidRPr="00090D74">
        <w:rPr>
          <w:sz w:val="22"/>
          <w:szCs w:val="22"/>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14:paraId="1EB4A1F6" w14:textId="77777777" w:rsidR="00227278" w:rsidRPr="00090D74" w:rsidRDefault="00227278" w:rsidP="00227278">
      <w:pPr>
        <w:widowControl w:val="0"/>
        <w:tabs>
          <w:tab w:val="left" w:pos="1276"/>
        </w:tabs>
        <w:ind w:firstLine="567"/>
        <w:contextualSpacing/>
        <w:jc w:val="both"/>
        <w:rPr>
          <w:sz w:val="22"/>
          <w:szCs w:val="22"/>
          <w:lang w:val="uk-UA"/>
        </w:rPr>
      </w:pPr>
      <w:r w:rsidRPr="00090D74">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частині першій статті 17 Закону, крім самостійного декларування відсутності таких підстав учасником процедури закупівлі.</w:t>
      </w:r>
    </w:p>
    <w:p w14:paraId="12B6241A" w14:textId="77777777" w:rsidR="00227278" w:rsidRPr="00090D74" w:rsidRDefault="00227278" w:rsidP="00227278">
      <w:pPr>
        <w:widowControl w:val="0"/>
        <w:tabs>
          <w:tab w:val="left" w:pos="1276"/>
        </w:tabs>
        <w:ind w:firstLine="567"/>
        <w:contextualSpacing/>
        <w:jc w:val="both"/>
        <w:rPr>
          <w:sz w:val="22"/>
          <w:szCs w:val="22"/>
          <w:lang w:val="uk-UA"/>
        </w:rPr>
      </w:pPr>
      <w:r w:rsidRPr="00090D74">
        <w:rPr>
          <w:sz w:val="22"/>
          <w:szCs w:val="22"/>
          <w:lang w:val="uk-UA"/>
        </w:rPr>
        <w:t>Враховуючи, що в електронній системі закупівель не реалізовано технічну можливість самостійно декларувати відсутність підстави, передбаченої частиною другою статті 17 Закону, інформація про відсутність підстави, визначеної частиною другою статті 17 Закону надається учасником у складі тендерної пропозиції, а саме:</w:t>
      </w:r>
    </w:p>
    <w:p w14:paraId="7093A2BA" w14:textId="77777777" w:rsidR="00227278" w:rsidRPr="00090D74" w:rsidRDefault="00227278" w:rsidP="00227278">
      <w:pPr>
        <w:widowControl w:val="0"/>
        <w:tabs>
          <w:tab w:val="left" w:pos="993"/>
        </w:tabs>
        <w:ind w:firstLine="567"/>
        <w:contextualSpacing/>
        <w:jc w:val="both"/>
        <w:rPr>
          <w:sz w:val="22"/>
          <w:szCs w:val="22"/>
          <w:lang w:val="uk-UA"/>
        </w:rPr>
      </w:pPr>
      <w:r w:rsidRPr="00090D74">
        <w:rPr>
          <w:sz w:val="22"/>
          <w:szCs w:val="22"/>
          <w:lang w:val="uk-UA"/>
        </w:rPr>
        <w:t>-</w:t>
      </w:r>
      <w:r w:rsidRPr="00090D74">
        <w:rPr>
          <w:sz w:val="22"/>
          <w:szCs w:val="22"/>
          <w:lang w:val="uk-UA"/>
        </w:rPr>
        <w:tab/>
        <w:t>довідка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6AD6BCFE" w14:textId="77777777" w:rsidR="00227278" w:rsidRPr="00090D74" w:rsidRDefault="00227278" w:rsidP="00227278">
      <w:pPr>
        <w:widowControl w:val="0"/>
        <w:tabs>
          <w:tab w:val="left" w:pos="993"/>
        </w:tabs>
        <w:ind w:firstLine="709"/>
        <w:contextualSpacing/>
        <w:jc w:val="both"/>
        <w:rPr>
          <w:sz w:val="22"/>
          <w:szCs w:val="22"/>
          <w:lang w:val="uk-UA"/>
        </w:rPr>
      </w:pPr>
      <w:r w:rsidRPr="00090D74">
        <w:rPr>
          <w:sz w:val="22"/>
          <w:szCs w:val="22"/>
          <w:lang w:val="uk-UA"/>
        </w:rPr>
        <w:t xml:space="preserve">або </w:t>
      </w:r>
    </w:p>
    <w:p w14:paraId="4B1D4D31" w14:textId="77777777" w:rsidR="00227278" w:rsidRPr="00090D74" w:rsidRDefault="00227278" w:rsidP="00227278">
      <w:pPr>
        <w:widowControl w:val="0"/>
        <w:tabs>
          <w:tab w:val="left" w:pos="993"/>
        </w:tabs>
        <w:ind w:firstLine="709"/>
        <w:contextualSpacing/>
        <w:jc w:val="both"/>
        <w:rPr>
          <w:sz w:val="22"/>
          <w:szCs w:val="22"/>
          <w:lang w:val="uk-UA"/>
        </w:rPr>
      </w:pPr>
      <w:r w:rsidRPr="00090D74">
        <w:rPr>
          <w:sz w:val="22"/>
          <w:szCs w:val="22"/>
          <w:lang w:val="uk-UA"/>
        </w:rPr>
        <w:t>-</w:t>
      </w:r>
      <w:r w:rsidRPr="00090D74">
        <w:rPr>
          <w:sz w:val="22"/>
          <w:szCs w:val="22"/>
          <w:lang w:val="uk-UA"/>
        </w:rPr>
        <w:tab/>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p w14:paraId="3E272073" w14:textId="77777777" w:rsidR="00227278" w:rsidRPr="00090D74" w:rsidRDefault="00227278" w:rsidP="00227278">
      <w:pPr>
        <w:widowControl w:val="0"/>
        <w:tabs>
          <w:tab w:val="left" w:pos="1276"/>
        </w:tabs>
        <w:ind w:firstLine="709"/>
        <w:contextualSpacing/>
        <w:jc w:val="both"/>
        <w:rPr>
          <w:sz w:val="22"/>
          <w:szCs w:val="22"/>
          <w:lang w:val="uk-UA"/>
        </w:rPr>
      </w:pPr>
      <w:r w:rsidRPr="00090D74">
        <w:rPr>
          <w:sz w:val="22"/>
          <w:szCs w:val="22"/>
          <w:lang w:val="uk-UA"/>
        </w:rPr>
        <w:t>Недотримання учасником вищезазначених вимог є підставою для його відхилення згідно абзацу 7 підпункту 2 пункту 41 Особливостей.</w:t>
      </w:r>
    </w:p>
    <w:bookmarkEnd w:id="0"/>
    <w:bookmarkEnd w:id="1"/>
    <w:p w14:paraId="7E14B8D6" w14:textId="77777777" w:rsidR="00227278" w:rsidRPr="00090D74" w:rsidRDefault="00227278" w:rsidP="00227278">
      <w:pPr>
        <w:shd w:val="clear" w:color="auto" w:fill="FFFFFF"/>
        <w:ind w:firstLine="426"/>
        <w:jc w:val="both"/>
        <w:rPr>
          <w:rFonts w:eastAsia="Arial"/>
          <w:i/>
          <w:lang w:val="uk-UA"/>
        </w:rPr>
      </w:pPr>
      <w:r w:rsidRPr="00090D74">
        <w:rPr>
          <w:rFonts w:eastAsia="Arial"/>
          <w:i/>
          <w:lang w:val="uk-UA"/>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 згідно цього додатку.</w:t>
      </w:r>
    </w:p>
    <w:p w14:paraId="7C03DA82" w14:textId="77777777" w:rsidR="00227278" w:rsidRPr="00090D74" w:rsidRDefault="00227278" w:rsidP="00227278">
      <w:pPr>
        <w:shd w:val="clear" w:color="auto" w:fill="FFFFFF"/>
        <w:ind w:firstLine="426"/>
        <w:contextualSpacing/>
        <w:jc w:val="both"/>
        <w:rPr>
          <w:i/>
          <w:color w:val="000000"/>
          <w:sz w:val="22"/>
          <w:szCs w:val="22"/>
          <w:lang w:val="uk-UA"/>
        </w:rPr>
      </w:pPr>
      <w:r w:rsidRPr="00090D74">
        <w:rPr>
          <w:i/>
          <w:color w:val="000000"/>
          <w:lang w:val="uk-UA"/>
        </w:rPr>
        <w:t xml:space="preserve">У разі якщо учасник має намір залучити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9" w:anchor="n1257" w:history="1">
        <w:r w:rsidRPr="00090D74">
          <w:rPr>
            <w:i/>
            <w:color w:val="000000"/>
            <w:lang w:val="uk-UA"/>
          </w:rPr>
          <w:t>частини третьої</w:t>
        </w:r>
      </w:hyperlink>
      <w:r w:rsidRPr="00090D74">
        <w:rPr>
          <w:i/>
          <w:color w:val="000000"/>
          <w:lang w:val="uk-UA"/>
        </w:rPr>
        <w:t xml:space="preserve"> статті 16 Закону, замовник перевіряє таких суб’єктів господарювання на відсутність підстав, визначених у </w:t>
      </w:r>
      <w:hyperlink r:id="rId10" w:anchor="n1262" w:history="1">
        <w:r w:rsidRPr="00090D74">
          <w:rPr>
            <w:i/>
            <w:color w:val="000000"/>
            <w:lang w:val="uk-UA"/>
          </w:rPr>
          <w:t>частині першій</w:t>
        </w:r>
      </w:hyperlink>
      <w:r w:rsidRPr="00090D74">
        <w:rPr>
          <w:i/>
          <w:color w:val="000000"/>
          <w:lang w:val="uk-UA"/>
        </w:rPr>
        <w:t xml:space="preserve"> статті 17 Закону.</w:t>
      </w:r>
      <w:r w:rsidRPr="00090D74">
        <w:rPr>
          <w:i/>
          <w:color w:val="000000"/>
          <w:sz w:val="22"/>
          <w:szCs w:val="22"/>
          <w:lang w:val="uk-UA"/>
        </w:rPr>
        <w:t xml:space="preserve"> </w:t>
      </w:r>
    </w:p>
    <w:p w14:paraId="3AE2954D" w14:textId="77777777" w:rsidR="00227278" w:rsidRPr="00090D74" w:rsidRDefault="00227278" w:rsidP="00090D74">
      <w:pPr>
        <w:keepNext/>
        <w:keepLines/>
        <w:tabs>
          <w:tab w:val="left" w:pos="610"/>
        </w:tabs>
        <w:ind w:right="147" w:firstLine="567"/>
        <w:jc w:val="both"/>
        <w:outlineLvl w:val="0"/>
        <w:rPr>
          <w:rFonts w:eastAsia="Arial" w:cs="Arial"/>
          <w:b/>
          <w:color w:val="000000"/>
          <w:sz w:val="22"/>
          <w:szCs w:val="22"/>
          <w:lang w:val="uk-UA"/>
        </w:rPr>
      </w:pPr>
      <w:r w:rsidRPr="00090D74">
        <w:rPr>
          <w:rFonts w:eastAsia="Arial" w:cs="Arial"/>
          <w:b/>
          <w:color w:val="000000"/>
          <w:sz w:val="22"/>
          <w:szCs w:val="22"/>
          <w:lang w:val="uk-UA"/>
        </w:rPr>
        <w:t>2. Документи</w:t>
      </w:r>
      <w:r w:rsidRPr="00090D74">
        <w:rPr>
          <w:rFonts w:eastAsia="Arial" w:cs="Arial"/>
          <w:b/>
          <w:color w:val="000000"/>
          <w:spacing w:val="1"/>
          <w:sz w:val="22"/>
          <w:szCs w:val="22"/>
          <w:lang w:val="uk-UA"/>
        </w:rPr>
        <w:t xml:space="preserve"> для </w:t>
      </w:r>
      <w:r w:rsidRPr="00090D74">
        <w:rPr>
          <w:rFonts w:eastAsia="Arial" w:cs="Arial"/>
          <w:b/>
          <w:color w:val="000000"/>
          <w:sz w:val="22"/>
          <w:szCs w:val="22"/>
          <w:lang w:val="uk-UA"/>
        </w:rPr>
        <w:t>юридичних осіб, фізичних осіб та фізичних осіб-підприємців на</w:t>
      </w:r>
      <w:r w:rsidRPr="00090D74">
        <w:rPr>
          <w:rFonts w:eastAsia="Arial" w:cs="Arial"/>
          <w:b/>
          <w:color w:val="000000"/>
          <w:spacing w:val="1"/>
          <w:sz w:val="22"/>
          <w:szCs w:val="22"/>
          <w:lang w:val="uk-UA"/>
        </w:rPr>
        <w:t xml:space="preserve"> </w:t>
      </w:r>
      <w:r w:rsidRPr="00090D74">
        <w:rPr>
          <w:rFonts w:eastAsia="Arial" w:cs="Arial"/>
          <w:b/>
          <w:color w:val="000000"/>
          <w:sz w:val="22"/>
          <w:szCs w:val="22"/>
          <w:lang w:val="uk-UA"/>
        </w:rPr>
        <w:t>підтвердження</w:t>
      </w:r>
      <w:r w:rsidRPr="00090D74">
        <w:rPr>
          <w:rFonts w:eastAsia="Arial" w:cs="Arial"/>
          <w:b/>
          <w:color w:val="000000"/>
          <w:spacing w:val="1"/>
          <w:sz w:val="22"/>
          <w:szCs w:val="22"/>
          <w:lang w:val="uk-UA"/>
        </w:rPr>
        <w:t xml:space="preserve"> </w:t>
      </w:r>
      <w:r w:rsidRPr="00090D74">
        <w:rPr>
          <w:rFonts w:eastAsia="Arial" w:cs="Arial"/>
          <w:b/>
          <w:color w:val="000000"/>
          <w:sz w:val="22"/>
          <w:szCs w:val="22"/>
          <w:lang w:val="uk-UA"/>
        </w:rPr>
        <w:t>відповідності</w:t>
      </w:r>
      <w:r w:rsidRPr="00090D74">
        <w:rPr>
          <w:rFonts w:eastAsia="Arial" w:cs="Arial"/>
          <w:b/>
          <w:color w:val="000000"/>
          <w:spacing w:val="1"/>
          <w:sz w:val="22"/>
          <w:szCs w:val="22"/>
          <w:lang w:val="uk-UA"/>
        </w:rPr>
        <w:t xml:space="preserve"> </w:t>
      </w:r>
      <w:r w:rsidRPr="00090D74">
        <w:rPr>
          <w:rFonts w:eastAsia="Arial" w:cs="Arial"/>
          <w:b/>
          <w:color w:val="000000"/>
          <w:sz w:val="22"/>
          <w:szCs w:val="22"/>
          <w:u w:val="single"/>
          <w:lang w:val="uk-UA"/>
        </w:rPr>
        <w:t>переможця</w:t>
      </w:r>
      <w:r w:rsidRPr="00090D74">
        <w:rPr>
          <w:rFonts w:eastAsia="Arial" w:cs="Arial"/>
          <w:b/>
          <w:color w:val="000000"/>
          <w:spacing w:val="1"/>
          <w:sz w:val="22"/>
          <w:szCs w:val="22"/>
          <w:lang w:val="uk-UA"/>
        </w:rPr>
        <w:t xml:space="preserve"> </w:t>
      </w:r>
      <w:r w:rsidRPr="00090D74">
        <w:rPr>
          <w:rFonts w:eastAsia="Arial" w:cs="Arial"/>
          <w:b/>
          <w:color w:val="000000"/>
          <w:sz w:val="22"/>
          <w:szCs w:val="22"/>
          <w:lang w:val="uk-UA"/>
        </w:rPr>
        <w:t>процедури</w:t>
      </w:r>
      <w:r w:rsidRPr="00090D74">
        <w:rPr>
          <w:rFonts w:eastAsia="Arial" w:cs="Arial"/>
          <w:b/>
          <w:color w:val="000000"/>
          <w:spacing w:val="1"/>
          <w:sz w:val="22"/>
          <w:szCs w:val="22"/>
          <w:lang w:val="uk-UA"/>
        </w:rPr>
        <w:t xml:space="preserve"> </w:t>
      </w:r>
      <w:r w:rsidRPr="00090D74">
        <w:rPr>
          <w:rFonts w:eastAsia="Arial" w:cs="Arial"/>
          <w:b/>
          <w:color w:val="000000"/>
          <w:sz w:val="22"/>
          <w:szCs w:val="22"/>
          <w:lang w:val="uk-UA"/>
        </w:rPr>
        <w:t>закупівлі</w:t>
      </w:r>
      <w:r w:rsidRPr="00090D74">
        <w:rPr>
          <w:rFonts w:eastAsia="Arial" w:cs="Arial"/>
          <w:b/>
          <w:color w:val="000000"/>
          <w:spacing w:val="-3"/>
          <w:sz w:val="22"/>
          <w:szCs w:val="22"/>
          <w:lang w:val="uk-UA"/>
        </w:rPr>
        <w:t xml:space="preserve"> </w:t>
      </w:r>
      <w:r w:rsidRPr="00090D74">
        <w:rPr>
          <w:rFonts w:eastAsia="Arial" w:cs="Arial"/>
          <w:b/>
          <w:color w:val="000000"/>
          <w:sz w:val="22"/>
          <w:szCs w:val="22"/>
          <w:lang w:val="uk-UA"/>
        </w:rPr>
        <w:t>вимогам,</w:t>
      </w:r>
      <w:r w:rsidRPr="00090D74">
        <w:rPr>
          <w:rFonts w:eastAsia="Arial" w:cs="Arial"/>
          <w:b/>
          <w:color w:val="000000"/>
          <w:spacing w:val="4"/>
          <w:sz w:val="22"/>
          <w:szCs w:val="22"/>
          <w:lang w:val="uk-UA"/>
        </w:rPr>
        <w:t xml:space="preserve"> </w:t>
      </w:r>
      <w:r w:rsidRPr="00090D74">
        <w:rPr>
          <w:rFonts w:eastAsia="Arial" w:cs="Arial"/>
          <w:b/>
          <w:color w:val="000000"/>
          <w:sz w:val="22"/>
          <w:szCs w:val="22"/>
          <w:lang w:val="uk-UA"/>
        </w:rPr>
        <w:t>встановленим</w:t>
      </w:r>
      <w:r w:rsidRPr="00090D74">
        <w:rPr>
          <w:rFonts w:eastAsia="Arial" w:cs="Arial"/>
          <w:b/>
          <w:color w:val="000000"/>
          <w:spacing w:val="-4"/>
          <w:sz w:val="22"/>
          <w:szCs w:val="22"/>
          <w:lang w:val="uk-UA"/>
        </w:rPr>
        <w:t xml:space="preserve"> </w:t>
      </w:r>
      <w:r w:rsidRPr="00090D74">
        <w:rPr>
          <w:rFonts w:eastAsia="Arial" w:cs="Arial"/>
          <w:b/>
          <w:color w:val="000000"/>
          <w:sz w:val="22"/>
          <w:szCs w:val="22"/>
          <w:lang w:val="uk-UA"/>
        </w:rPr>
        <w:t>статтею</w:t>
      </w:r>
      <w:r w:rsidRPr="00090D74">
        <w:rPr>
          <w:rFonts w:eastAsia="Arial" w:cs="Arial"/>
          <w:b/>
          <w:color w:val="000000"/>
          <w:spacing w:val="1"/>
          <w:sz w:val="22"/>
          <w:szCs w:val="22"/>
          <w:lang w:val="uk-UA"/>
        </w:rPr>
        <w:t xml:space="preserve"> </w:t>
      </w:r>
      <w:r w:rsidRPr="00090D74">
        <w:rPr>
          <w:rFonts w:eastAsia="Arial" w:cs="Arial"/>
          <w:b/>
          <w:color w:val="000000"/>
          <w:sz w:val="22"/>
          <w:szCs w:val="22"/>
          <w:lang w:val="uk-UA"/>
        </w:rPr>
        <w:t>17</w:t>
      </w:r>
      <w:r w:rsidRPr="00090D74">
        <w:rPr>
          <w:rFonts w:eastAsia="Arial" w:cs="Arial"/>
          <w:b/>
          <w:color w:val="000000"/>
          <w:spacing w:val="1"/>
          <w:sz w:val="22"/>
          <w:szCs w:val="22"/>
          <w:lang w:val="uk-UA"/>
        </w:rPr>
        <w:t xml:space="preserve"> </w:t>
      </w:r>
      <w:r w:rsidRPr="00090D74">
        <w:rPr>
          <w:rFonts w:eastAsia="Arial" w:cs="Arial"/>
          <w:b/>
          <w:color w:val="000000"/>
          <w:sz w:val="22"/>
          <w:szCs w:val="22"/>
          <w:lang w:val="uk-UA"/>
        </w:rPr>
        <w:t>Закону з урахуванням пункту 44 Особливостей:</w:t>
      </w:r>
    </w:p>
    <w:p w14:paraId="2186905A" w14:textId="77777777" w:rsidR="00227278" w:rsidRPr="00090D74" w:rsidRDefault="00227278" w:rsidP="00227278">
      <w:pPr>
        <w:widowControl w:val="0"/>
        <w:tabs>
          <w:tab w:val="left" w:pos="1276"/>
        </w:tabs>
        <w:ind w:firstLine="567"/>
        <w:contextualSpacing/>
        <w:jc w:val="both"/>
        <w:rPr>
          <w:sz w:val="22"/>
          <w:szCs w:val="22"/>
          <w:lang w:val="uk-UA"/>
        </w:rPr>
      </w:pPr>
      <w:r w:rsidRPr="00090D74">
        <w:rPr>
          <w:sz w:val="22"/>
          <w:szCs w:val="22"/>
          <w:lang w:val="uk-UA"/>
        </w:rPr>
        <w:t>Переможець процедури закупівлі у строк, що не перевищує 4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25C9D51" w14:textId="77777777" w:rsidR="00227278" w:rsidRPr="00090D74" w:rsidRDefault="00227278" w:rsidP="00227278">
      <w:pPr>
        <w:shd w:val="clear" w:color="auto" w:fill="FFFFFF"/>
        <w:contextualSpacing/>
        <w:jc w:val="both"/>
        <w:rPr>
          <w:i/>
          <w:color w:val="000000"/>
          <w:sz w:val="22"/>
          <w:szCs w:val="22"/>
          <w:lang w:val="uk-UA"/>
        </w:rPr>
      </w:pPr>
    </w:p>
    <w:tbl>
      <w:tblPr>
        <w:tblW w:w="9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476"/>
        <w:gridCol w:w="4395"/>
      </w:tblGrid>
      <w:tr w:rsidR="00227278" w:rsidRPr="00A16776" w14:paraId="5357A8E6" w14:textId="77777777" w:rsidTr="00054493">
        <w:trPr>
          <w:trHeight w:val="282"/>
        </w:trPr>
        <w:tc>
          <w:tcPr>
            <w:tcW w:w="568" w:type="dxa"/>
            <w:shd w:val="clear" w:color="auto" w:fill="auto"/>
            <w:vAlign w:val="center"/>
          </w:tcPr>
          <w:p w14:paraId="760C1758" w14:textId="77777777" w:rsidR="00227278" w:rsidRPr="00090D74" w:rsidRDefault="00227278" w:rsidP="00227278">
            <w:pPr>
              <w:jc w:val="both"/>
              <w:rPr>
                <w:sz w:val="22"/>
                <w:szCs w:val="22"/>
                <w:lang w:val="uk-UA"/>
              </w:rPr>
            </w:pPr>
            <w:r w:rsidRPr="00090D74">
              <w:rPr>
                <w:sz w:val="22"/>
                <w:szCs w:val="22"/>
                <w:lang w:val="uk-UA"/>
              </w:rPr>
              <w:lastRenderedPageBreak/>
              <w:t>№ з/п</w:t>
            </w:r>
          </w:p>
        </w:tc>
        <w:tc>
          <w:tcPr>
            <w:tcW w:w="4476" w:type="dxa"/>
            <w:shd w:val="clear" w:color="auto" w:fill="auto"/>
            <w:vAlign w:val="center"/>
          </w:tcPr>
          <w:p w14:paraId="48E892E3" w14:textId="77777777" w:rsidR="00227278" w:rsidRPr="00090D74" w:rsidRDefault="00227278" w:rsidP="00227278">
            <w:pPr>
              <w:jc w:val="center"/>
              <w:rPr>
                <w:sz w:val="22"/>
                <w:szCs w:val="22"/>
                <w:lang w:val="uk-UA"/>
              </w:rPr>
            </w:pPr>
            <w:r w:rsidRPr="00090D74">
              <w:rPr>
                <w:sz w:val="22"/>
                <w:szCs w:val="22"/>
                <w:lang w:val="uk-UA"/>
              </w:rPr>
              <w:t>Підстави передбачені статтею 17 Закону</w:t>
            </w:r>
          </w:p>
        </w:tc>
        <w:tc>
          <w:tcPr>
            <w:tcW w:w="4395" w:type="dxa"/>
            <w:shd w:val="clear" w:color="auto" w:fill="D9D9D9"/>
            <w:vAlign w:val="center"/>
          </w:tcPr>
          <w:p w14:paraId="1D57FB7D" w14:textId="77777777" w:rsidR="00227278" w:rsidRPr="00090D74" w:rsidRDefault="00227278" w:rsidP="00227278">
            <w:pPr>
              <w:jc w:val="center"/>
              <w:rPr>
                <w:sz w:val="22"/>
                <w:szCs w:val="22"/>
                <w:lang w:val="uk-UA"/>
              </w:rPr>
            </w:pPr>
            <w:r w:rsidRPr="00090D74">
              <w:rPr>
                <w:sz w:val="22"/>
                <w:szCs w:val="22"/>
                <w:lang w:val="uk-UA"/>
              </w:rPr>
              <w:t xml:space="preserve">Документи, які </w:t>
            </w:r>
            <w:r w:rsidRPr="00090D74">
              <w:rPr>
                <w:sz w:val="22"/>
                <w:szCs w:val="22"/>
                <w:u w:val="single"/>
                <w:lang w:val="uk-UA"/>
              </w:rPr>
              <w:t>переможець</w:t>
            </w:r>
            <w:r w:rsidRPr="00090D74">
              <w:rPr>
                <w:sz w:val="22"/>
                <w:szCs w:val="22"/>
                <w:lang w:val="uk-UA"/>
              </w:rPr>
              <w:t xml:space="preserve"> процедури закупівлі повинен надати замовнику у строк, що не перевищує 4 (чотири) дні з дати оприлюднення в електронній системі закупівель повідомлення про намір укласти договір про закупівлю шляхом оприлюднення їх в електронній системі закупівель</w:t>
            </w:r>
          </w:p>
        </w:tc>
      </w:tr>
      <w:tr w:rsidR="00227278" w:rsidRPr="00A16776" w14:paraId="5ECA7628" w14:textId="77777777" w:rsidTr="00054493">
        <w:trPr>
          <w:trHeight w:val="273"/>
        </w:trPr>
        <w:tc>
          <w:tcPr>
            <w:tcW w:w="568" w:type="dxa"/>
            <w:shd w:val="clear" w:color="auto" w:fill="auto"/>
            <w:vAlign w:val="center"/>
          </w:tcPr>
          <w:p w14:paraId="64F76C20" w14:textId="77777777" w:rsidR="00227278" w:rsidRPr="00090D74" w:rsidRDefault="00227278" w:rsidP="00227278">
            <w:pPr>
              <w:jc w:val="both"/>
              <w:rPr>
                <w:sz w:val="22"/>
                <w:szCs w:val="22"/>
                <w:lang w:val="uk-UA"/>
              </w:rPr>
            </w:pPr>
            <w:r w:rsidRPr="00090D74">
              <w:rPr>
                <w:sz w:val="22"/>
                <w:szCs w:val="22"/>
                <w:lang w:val="uk-UA"/>
              </w:rPr>
              <w:t>1.</w:t>
            </w:r>
          </w:p>
        </w:tc>
        <w:tc>
          <w:tcPr>
            <w:tcW w:w="4476" w:type="dxa"/>
            <w:shd w:val="clear" w:color="auto" w:fill="auto"/>
            <w:vAlign w:val="center"/>
          </w:tcPr>
          <w:p w14:paraId="02FBE909" w14:textId="77777777" w:rsidR="00227278" w:rsidRPr="00090D74" w:rsidRDefault="00227278" w:rsidP="00227278">
            <w:pPr>
              <w:jc w:val="both"/>
              <w:rPr>
                <w:color w:val="000000"/>
                <w:sz w:val="22"/>
                <w:szCs w:val="22"/>
                <w:shd w:val="clear" w:color="auto" w:fill="FFFFFF"/>
                <w:lang w:val="uk-UA"/>
              </w:rPr>
            </w:pPr>
            <w:r w:rsidRPr="00090D74">
              <w:rPr>
                <w:color w:val="000000"/>
                <w:sz w:val="22"/>
                <w:szCs w:val="22"/>
                <w:shd w:val="clear" w:color="auto" w:fill="FFFFFF"/>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090D74">
              <w:rPr>
                <w:b/>
                <w:bCs/>
                <w:color w:val="000000"/>
                <w:sz w:val="22"/>
                <w:szCs w:val="22"/>
                <w:shd w:val="clear" w:color="auto" w:fill="FFFFFF"/>
                <w:lang w:val="uk-UA"/>
              </w:rPr>
              <w:t>пункт 2 частини першої статті 17 Закону</w:t>
            </w:r>
            <w:r w:rsidRPr="00090D74">
              <w:rPr>
                <w:color w:val="000000"/>
                <w:sz w:val="22"/>
                <w:szCs w:val="22"/>
                <w:shd w:val="clear" w:color="auto" w:fill="FFFFFF"/>
                <w:lang w:val="uk-UA"/>
              </w:rPr>
              <w:t>).</w:t>
            </w:r>
          </w:p>
        </w:tc>
        <w:tc>
          <w:tcPr>
            <w:tcW w:w="4395" w:type="dxa"/>
            <w:shd w:val="clear" w:color="auto" w:fill="auto"/>
            <w:vAlign w:val="center"/>
          </w:tcPr>
          <w:p w14:paraId="1527B6D8" w14:textId="77777777" w:rsidR="00227278" w:rsidRPr="00090D74" w:rsidRDefault="00227278" w:rsidP="00227278">
            <w:pPr>
              <w:jc w:val="both"/>
              <w:rPr>
                <w:sz w:val="22"/>
                <w:szCs w:val="22"/>
                <w:shd w:val="clear" w:color="auto" w:fill="FFFFFF"/>
                <w:lang w:val="uk-UA"/>
              </w:rPr>
            </w:pPr>
            <w:r w:rsidRPr="00090D74">
              <w:rPr>
                <w:b/>
                <w:bCs/>
                <w:sz w:val="22"/>
                <w:szCs w:val="22"/>
                <w:shd w:val="clear" w:color="auto" w:fill="FFFFFF"/>
                <w:lang w:val="uk-UA"/>
              </w:rPr>
              <w:t>Витяг або довідку</w:t>
            </w:r>
            <w:r w:rsidRPr="00090D74">
              <w:rPr>
                <w:sz w:val="22"/>
                <w:szCs w:val="22"/>
                <w:shd w:val="clear" w:color="auto" w:fill="FFFFFF"/>
                <w:lang w:val="uk-UA"/>
              </w:rPr>
              <w:t xml:space="preserve"> з Єдиного державного реєстру осіб, які вчинили корупційні правопорушення  про те, </w:t>
            </w:r>
            <w:r w:rsidRPr="00090D74">
              <w:rPr>
                <w:color w:val="000000"/>
                <w:sz w:val="22"/>
                <w:szCs w:val="22"/>
                <w:shd w:val="clear" w:color="auto" w:fill="FFFFFF"/>
                <w:lang w:val="uk-UA"/>
              </w:rPr>
              <w:t>відомості про юридичну особу, яка є учасником процедури закупівлі, не внесено до Єдиного державного реєстру осіб, які вчинили корупційні або пов’язані з корупцією правопорушення (пункт 2 частини першої статті 17 Закону).</w:t>
            </w:r>
          </w:p>
          <w:p w14:paraId="2F9E3545" w14:textId="77777777" w:rsidR="00227278" w:rsidRPr="00090D74" w:rsidRDefault="00227278" w:rsidP="00227278">
            <w:pPr>
              <w:jc w:val="both"/>
              <w:rPr>
                <w:i/>
                <w:sz w:val="22"/>
                <w:szCs w:val="22"/>
                <w:shd w:val="clear" w:color="auto" w:fill="FFFFFF"/>
                <w:lang w:val="uk-UA"/>
              </w:rPr>
            </w:pPr>
            <w:r w:rsidRPr="00090D74">
              <w:rPr>
                <w:bCs/>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636E5668" w14:textId="77777777" w:rsidR="00227278" w:rsidRPr="00090D74" w:rsidRDefault="00227278" w:rsidP="00227278">
            <w:pPr>
              <w:jc w:val="both"/>
              <w:rPr>
                <w:i/>
                <w:sz w:val="22"/>
                <w:szCs w:val="22"/>
                <w:shd w:val="clear" w:color="auto" w:fill="FFFFFF"/>
                <w:lang w:val="uk-UA"/>
              </w:rPr>
            </w:pPr>
          </w:p>
          <w:p w14:paraId="1AF5B26B" w14:textId="77777777" w:rsidR="00227278" w:rsidRPr="00090D74" w:rsidRDefault="00227278" w:rsidP="00227278">
            <w:pPr>
              <w:jc w:val="both"/>
              <w:rPr>
                <w:i/>
                <w:sz w:val="22"/>
                <w:szCs w:val="22"/>
                <w:shd w:val="clear" w:color="auto" w:fill="FFFFFF"/>
                <w:lang w:val="uk-UA"/>
              </w:rPr>
            </w:pPr>
            <w:r w:rsidRPr="00090D74">
              <w:rPr>
                <w:i/>
                <w:sz w:val="22"/>
                <w:szCs w:val="22"/>
                <w:shd w:val="clear" w:color="auto" w:fill="FFFFFF"/>
                <w:lang w:val="uk-UA"/>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відсутність підстави, передбаченої пунктом 2 частини 1 статті 17 Закону.</w:t>
            </w:r>
          </w:p>
        </w:tc>
      </w:tr>
      <w:tr w:rsidR="00227278" w:rsidRPr="00A16776" w14:paraId="17AD36A9" w14:textId="77777777" w:rsidTr="00054493">
        <w:trPr>
          <w:trHeight w:val="273"/>
        </w:trPr>
        <w:tc>
          <w:tcPr>
            <w:tcW w:w="568" w:type="dxa"/>
            <w:shd w:val="clear" w:color="auto" w:fill="auto"/>
            <w:vAlign w:val="center"/>
          </w:tcPr>
          <w:p w14:paraId="1823BAB8" w14:textId="77777777" w:rsidR="00227278" w:rsidRPr="00090D74" w:rsidRDefault="00227278" w:rsidP="00227278">
            <w:pPr>
              <w:jc w:val="both"/>
              <w:rPr>
                <w:sz w:val="22"/>
                <w:szCs w:val="22"/>
                <w:lang w:val="uk-UA"/>
              </w:rPr>
            </w:pPr>
            <w:r w:rsidRPr="00090D74">
              <w:rPr>
                <w:sz w:val="22"/>
                <w:szCs w:val="22"/>
                <w:lang w:val="uk-UA"/>
              </w:rPr>
              <w:t>2.</w:t>
            </w:r>
          </w:p>
        </w:tc>
        <w:tc>
          <w:tcPr>
            <w:tcW w:w="4476" w:type="dxa"/>
            <w:shd w:val="clear" w:color="auto" w:fill="auto"/>
            <w:vAlign w:val="center"/>
          </w:tcPr>
          <w:p w14:paraId="2DBEE4AF" w14:textId="77777777" w:rsidR="00227278" w:rsidRPr="00090D74" w:rsidRDefault="00227278" w:rsidP="00227278">
            <w:pPr>
              <w:jc w:val="both"/>
              <w:rPr>
                <w:color w:val="000000"/>
                <w:sz w:val="22"/>
                <w:szCs w:val="22"/>
                <w:shd w:val="clear" w:color="auto" w:fill="FFFFFF"/>
                <w:lang w:val="uk-UA"/>
              </w:rPr>
            </w:pPr>
            <w:r w:rsidRPr="00090D74">
              <w:rPr>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090D74">
              <w:rPr>
                <w:b/>
                <w:bCs/>
                <w:color w:val="000000"/>
                <w:sz w:val="22"/>
                <w:szCs w:val="22"/>
                <w:shd w:val="clear" w:color="auto" w:fill="FFFFFF"/>
                <w:lang w:val="uk-UA"/>
              </w:rPr>
              <w:t>пункт 3 частини першої статті 17 Закону</w:t>
            </w:r>
            <w:r w:rsidRPr="00090D74">
              <w:rPr>
                <w:color w:val="000000"/>
                <w:sz w:val="22"/>
                <w:szCs w:val="22"/>
                <w:shd w:val="clear" w:color="auto" w:fill="FFFFFF"/>
                <w:lang w:val="uk-UA"/>
              </w:rPr>
              <w:t>).</w:t>
            </w:r>
          </w:p>
        </w:tc>
        <w:tc>
          <w:tcPr>
            <w:tcW w:w="4395" w:type="dxa"/>
            <w:shd w:val="clear" w:color="auto" w:fill="auto"/>
            <w:vAlign w:val="center"/>
          </w:tcPr>
          <w:p w14:paraId="0F57DE20" w14:textId="77777777" w:rsidR="00227278" w:rsidRPr="00090D74" w:rsidRDefault="00227278" w:rsidP="00227278">
            <w:pPr>
              <w:jc w:val="both"/>
              <w:rPr>
                <w:sz w:val="22"/>
                <w:szCs w:val="22"/>
                <w:shd w:val="clear" w:color="auto" w:fill="FFFFFF"/>
                <w:lang w:val="uk-UA"/>
              </w:rPr>
            </w:pPr>
            <w:r w:rsidRPr="00090D74">
              <w:rPr>
                <w:b/>
                <w:bCs/>
                <w:sz w:val="22"/>
                <w:szCs w:val="22"/>
                <w:shd w:val="clear" w:color="auto" w:fill="FFFFFF"/>
                <w:lang w:val="uk-UA"/>
              </w:rPr>
              <w:t>Витяг або довідку</w:t>
            </w:r>
            <w:r w:rsidRPr="00090D74">
              <w:rPr>
                <w:sz w:val="22"/>
                <w:szCs w:val="22"/>
                <w:shd w:val="clear" w:color="auto" w:fill="FFFFFF"/>
                <w:lang w:val="uk-UA"/>
              </w:rPr>
              <w:t xml:space="preserve"> з Єдиного державного реєстру осіб, які вчинили корупційні правопорушення  про те,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5B88CA33" w14:textId="77777777" w:rsidR="00C61554" w:rsidRPr="00090D74" w:rsidRDefault="00227278" w:rsidP="00227278">
            <w:pPr>
              <w:jc w:val="both"/>
              <w:rPr>
                <w:i/>
                <w:sz w:val="22"/>
                <w:szCs w:val="22"/>
                <w:shd w:val="clear" w:color="auto" w:fill="FFFFFF"/>
                <w:lang w:val="uk-UA"/>
              </w:rPr>
            </w:pPr>
            <w:r w:rsidRPr="00090D74">
              <w:rPr>
                <w:bCs/>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r w:rsidR="00C61554" w:rsidRPr="00090D74">
              <w:rPr>
                <w:i/>
                <w:sz w:val="22"/>
                <w:szCs w:val="22"/>
                <w:shd w:val="clear" w:color="auto" w:fill="FFFFFF"/>
                <w:lang w:val="uk-UA"/>
              </w:rPr>
              <w:t xml:space="preserve"> </w:t>
            </w:r>
          </w:p>
          <w:p w14:paraId="38F12F38" w14:textId="0EC63C71" w:rsidR="00227278" w:rsidRPr="00090D74" w:rsidRDefault="00C61554" w:rsidP="00227278">
            <w:pPr>
              <w:jc w:val="both"/>
              <w:rPr>
                <w:bCs/>
                <w:sz w:val="22"/>
                <w:szCs w:val="22"/>
                <w:shd w:val="clear" w:color="auto" w:fill="FFFFFF"/>
                <w:lang w:val="uk-UA"/>
              </w:rPr>
            </w:pPr>
            <w:r w:rsidRPr="00090D74">
              <w:rPr>
                <w:i/>
                <w:sz w:val="22"/>
                <w:szCs w:val="22"/>
                <w:shd w:val="clear" w:color="auto" w:fill="FFFFFF"/>
                <w:lang w:val="uk-UA"/>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документ, що підтверджує </w:t>
            </w:r>
            <w:r w:rsidRPr="00090D74">
              <w:rPr>
                <w:i/>
                <w:sz w:val="22"/>
                <w:szCs w:val="22"/>
                <w:shd w:val="clear" w:color="auto" w:fill="FFFFFF"/>
                <w:lang w:val="uk-UA"/>
              </w:rPr>
              <w:lastRenderedPageBreak/>
              <w:t>відсутність підстави, передбаченої пунктом 3 частини 1 статті 17 Закону.</w:t>
            </w:r>
          </w:p>
        </w:tc>
      </w:tr>
      <w:tr w:rsidR="00227278" w:rsidRPr="00090D74" w14:paraId="2B768E51" w14:textId="77777777" w:rsidTr="00054493">
        <w:trPr>
          <w:trHeight w:val="273"/>
        </w:trPr>
        <w:tc>
          <w:tcPr>
            <w:tcW w:w="568" w:type="dxa"/>
            <w:shd w:val="clear" w:color="auto" w:fill="auto"/>
            <w:vAlign w:val="center"/>
          </w:tcPr>
          <w:p w14:paraId="6B16B786" w14:textId="77777777" w:rsidR="00227278" w:rsidRPr="00090D74" w:rsidRDefault="00227278" w:rsidP="00227278">
            <w:pPr>
              <w:jc w:val="both"/>
              <w:rPr>
                <w:sz w:val="22"/>
                <w:szCs w:val="22"/>
                <w:lang w:val="uk-UA"/>
              </w:rPr>
            </w:pPr>
            <w:r w:rsidRPr="00090D74">
              <w:rPr>
                <w:sz w:val="22"/>
                <w:szCs w:val="22"/>
                <w:lang w:val="uk-UA"/>
              </w:rPr>
              <w:lastRenderedPageBreak/>
              <w:t>3.</w:t>
            </w:r>
          </w:p>
        </w:tc>
        <w:tc>
          <w:tcPr>
            <w:tcW w:w="4476" w:type="dxa"/>
            <w:shd w:val="clear" w:color="auto" w:fill="auto"/>
            <w:vAlign w:val="center"/>
          </w:tcPr>
          <w:p w14:paraId="27A8B3CC" w14:textId="77777777" w:rsidR="00227278" w:rsidRPr="00090D74" w:rsidRDefault="00227278" w:rsidP="00227278">
            <w:pPr>
              <w:jc w:val="both"/>
              <w:rPr>
                <w:color w:val="000000"/>
                <w:sz w:val="22"/>
                <w:szCs w:val="22"/>
                <w:shd w:val="clear" w:color="auto" w:fill="FFFFFF"/>
                <w:lang w:val="uk-UA"/>
              </w:rPr>
            </w:pPr>
            <w:r w:rsidRPr="00090D74">
              <w:rPr>
                <w:color w:val="000000"/>
                <w:sz w:val="22"/>
                <w:szCs w:val="22"/>
                <w:shd w:val="clear" w:color="auto" w:fill="FFFFFF"/>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090D74">
              <w:rPr>
                <w:b/>
                <w:bCs/>
                <w:color w:val="000000"/>
                <w:sz w:val="22"/>
                <w:szCs w:val="22"/>
                <w:shd w:val="clear" w:color="auto" w:fill="FFFFFF"/>
                <w:lang w:val="uk-UA"/>
              </w:rPr>
              <w:t>пункт 5 частини першої статті 17 Закону</w:t>
            </w:r>
            <w:r w:rsidRPr="00090D74">
              <w:rPr>
                <w:color w:val="000000"/>
                <w:sz w:val="22"/>
                <w:szCs w:val="22"/>
                <w:shd w:val="clear" w:color="auto" w:fill="FFFFFF"/>
                <w:lang w:val="uk-UA"/>
              </w:rPr>
              <w:t>)</w:t>
            </w:r>
            <w:r w:rsidR="00C61554" w:rsidRPr="00090D74">
              <w:rPr>
                <w:color w:val="000000"/>
                <w:sz w:val="22"/>
                <w:szCs w:val="22"/>
                <w:shd w:val="clear" w:color="auto" w:fill="FFFFFF"/>
                <w:lang w:val="uk-UA"/>
              </w:rPr>
              <w:t>;</w:t>
            </w:r>
          </w:p>
          <w:p w14:paraId="2DEAB764" w14:textId="77777777" w:rsidR="00C61554" w:rsidRPr="00090D74" w:rsidRDefault="00C61554" w:rsidP="00227278">
            <w:pPr>
              <w:jc w:val="both"/>
              <w:rPr>
                <w:color w:val="000000"/>
                <w:sz w:val="22"/>
                <w:szCs w:val="22"/>
                <w:shd w:val="clear" w:color="auto" w:fill="FFFFFF"/>
                <w:lang w:val="uk-UA"/>
              </w:rPr>
            </w:pPr>
            <w:r w:rsidRPr="00090D74">
              <w:rPr>
                <w:color w:val="000000"/>
                <w:sz w:val="22"/>
                <w:szCs w:val="22"/>
                <w:shd w:val="clear" w:color="auto" w:fill="FFFFFF"/>
                <w:lang w:val="uk-UA"/>
              </w:rPr>
              <w:t>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090D74">
              <w:rPr>
                <w:b/>
                <w:bCs/>
                <w:color w:val="000000"/>
                <w:sz w:val="22"/>
                <w:szCs w:val="22"/>
                <w:shd w:val="clear" w:color="auto" w:fill="FFFFFF"/>
                <w:lang w:val="uk-UA"/>
              </w:rPr>
              <w:t>пункт 6 частини першої статті 17 Закону</w:t>
            </w:r>
            <w:r w:rsidRPr="00090D74">
              <w:rPr>
                <w:color w:val="000000"/>
                <w:sz w:val="22"/>
                <w:szCs w:val="22"/>
                <w:shd w:val="clear" w:color="auto" w:fill="FFFFFF"/>
                <w:lang w:val="uk-UA"/>
              </w:rPr>
              <w:t>);</w:t>
            </w:r>
          </w:p>
          <w:p w14:paraId="618B907B" w14:textId="491E53EA" w:rsidR="00C61554" w:rsidRPr="00090D74" w:rsidRDefault="00C61554" w:rsidP="00227278">
            <w:pPr>
              <w:jc w:val="both"/>
              <w:rPr>
                <w:color w:val="000000"/>
                <w:sz w:val="22"/>
                <w:szCs w:val="22"/>
                <w:shd w:val="clear" w:color="auto" w:fill="FFFFFF"/>
                <w:lang w:val="uk-UA"/>
              </w:rPr>
            </w:pPr>
            <w:r w:rsidRPr="00090D74">
              <w:rPr>
                <w:color w:val="000000"/>
                <w:sz w:val="22"/>
                <w:szCs w:val="22"/>
                <w:shd w:val="clear" w:color="auto" w:fill="FFFFFF"/>
                <w:lang w:val="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090D74">
              <w:rPr>
                <w:b/>
                <w:bCs/>
                <w:color w:val="000000"/>
                <w:sz w:val="22"/>
                <w:szCs w:val="22"/>
                <w:shd w:val="clear" w:color="auto" w:fill="FFFFFF"/>
                <w:lang w:val="uk-UA"/>
              </w:rPr>
              <w:t>пункт 12 частини першої статті 17 Закону</w:t>
            </w:r>
            <w:r w:rsidRPr="00090D74">
              <w:rPr>
                <w:color w:val="000000"/>
                <w:sz w:val="22"/>
                <w:szCs w:val="22"/>
                <w:shd w:val="clear" w:color="auto" w:fill="FFFFFF"/>
                <w:lang w:val="uk-UA"/>
              </w:rPr>
              <w:t>).</w:t>
            </w:r>
          </w:p>
        </w:tc>
        <w:tc>
          <w:tcPr>
            <w:tcW w:w="4395" w:type="dxa"/>
            <w:shd w:val="clear" w:color="auto" w:fill="auto"/>
            <w:vAlign w:val="center"/>
          </w:tcPr>
          <w:p w14:paraId="4232A1D0" w14:textId="2B861572" w:rsidR="00227278" w:rsidRPr="00090D74" w:rsidRDefault="00227278" w:rsidP="00227278">
            <w:pPr>
              <w:jc w:val="both"/>
              <w:rPr>
                <w:sz w:val="22"/>
                <w:szCs w:val="22"/>
                <w:lang w:val="uk-UA"/>
              </w:rPr>
            </w:pPr>
            <w:r w:rsidRPr="00090D74">
              <w:rPr>
                <w:b/>
                <w:bCs/>
                <w:sz w:val="22"/>
                <w:szCs w:val="22"/>
                <w:shd w:val="clear" w:color="auto" w:fill="FFFFFF"/>
                <w:lang w:val="uk-UA"/>
              </w:rPr>
              <w:t>Витяг</w:t>
            </w:r>
            <w:r w:rsidRPr="00090D74">
              <w:rPr>
                <w:sz w:val="22"/>
                <w:szCs w:val="22"/>
                <w:shd w:val="clear" w:color="auto" w:fill="FFFFFF"/>
                <w:lang w:val="uk-UA"/>
              </w:rPr>
              <w:t xml:space="preserve"> з інформаційно-аналітичної системи «Облік відомостей про притягнення особи до кримінальної відповідальності та наявності судимості», в електронному вигляді з QR-кодом, про те, що службова (посадова) особа переможця процедури закупівлі, яка підписала тендерну пропозицію, до кримінальної відповідальності не притягується, не знятої чи не погашеної судимості не має та в розшуку не перебуває. Документ повинен бути видано не раніше тридцятиденного строку відносно дати оприлюднення оголошення про проведення відкритих торгів за відповідним предметом закупівлі. Додатково замовник може перевірити дану інформацію на офіційному сайті МВС за посиланням </w:t>
            </w:r>
            <w:hyperlink r:id="rId11" w:history="1">
              <w:r w:rsidRPr="00090D74">
                <w:rPr>
                  <w:sz w:val="22"/>
                  <w:szCs w:val="22"/>
                  <w:shd w:val="clear" w:color="auto" w:fill="FFFFFF"/>
                  <w:lang w:val="uk-UA"/>
                </w:rPr>
                <w:t>http://vytiah.mvs.gov.ua/app/landing.</w:t>
              </w:r>
            </w:hyperlink>
          </w:p>
        </w:tc>
      </w:tr>
      <w:tr w:rsidR="00227278" w:rsidRPr="00A16776" w14:paraId="11AA72E4" w14:textId="77777777" w:rsidTr="00054493">
        <w:trPr>
          <w:trHeight w:val="424"/>
        </w:trPr>
        <w:tc>
          <w:tcPr>
            <w:tcW w:w="568" w:type="dxa"/>
            <w:shd w:val="clear" w:color="auto" w:fill="auto"/>
            <w:vAlign w:val="center"/>
          </w:tcPr>
          <w:p w14:paraId="625BE07B" w14:textId="32563728" w:rsidR="00227278" w:rsidRPr="00090D74" w:rsidRDefault="00C61554" w:rsidP="00227278">
            <w:pPr>
              <w:jc w:val="both"/>
              <w:rPr>
                <w:sz w:val="22"/>
                <w:szCs w:val="22"/>
                <w:lang w:val="uk-UA"/>
              </w:rPr>
            </w:pPr>
            <w:r w:rsidRPr="00090D74">
              <w:rPr>
                <w:sz w:val="22"/>
                <w:szCs w:val="22"/>
                <w:lang w:val="uk-UA"/>
              </w:rPr>
              <w:t>4</w:t>
            </w:r>
            <w:r w:rsidR="00227278" w:rsidRPr="00090D74">
              <w:rPr>
                <w:sz w:val="22"/>
                <w:szCs w:val="22"/>
                <w:lang w:val="uk-UA"/>
              </w:rPr>
              <w:t>.</w:t>
            </w:r>
          </w:p>
        </w:tc>
        <w:tc>
          <w:tcPr>
            <w:tcW w:w="4476" w:type="dxa"/>
            <w:shd w:val="clear" w:color="auto" w:fill="auto"/>
            <w:vAlign w:val="center"/>
          </w:tcPr>
          <w:p w14:paraId="79BFCCDC" w14:textId="77777777" w:rsidR="00227278" w:rsidRPr="00090D74" w:rsidRDefault="00227278" w:rsidP="00227278">
            <w:pPr>
              <w:jc w:val="both"/>
              <w:rPr>
                <w:color w:val="000000"/>
                <w:sz w:val="22"/>
                <w:szCs w:val="22"/>
                <w:shd w:val="clear" w:color="auto" w:fill="FFFFFF"/>
                <w:lang w:val="uk-UA"/>
              </w:rPr>
            </w:pPr>
            <w:r w:rsidRPr="00090D74">
              <w:rPr>
                <w:color w:val="000000"/>
                <w:sz w:val="22"/>
                <w:szCs w:val="22"/>
                <w:shd w:val="clear" w:color="auto" w:fill="FFFFFF"/>
                <w:lang w:val="uk-UA"/>
              </w:rPr>
              <w:t>Учасник процедури закупівлі визнаний у встановленому законом порядку банкрутом та стосовно нього відкрита ліквідаційна процедура (</w:t>
            </w:r>
            <w:r w:rsidRPr="00090D74">
              <w:rPr>
                <w:b/>
                <w:bCs/>
                <w:color w:val="000000"/>
                <w:sz w:val="22"/>
                <w:szCs w:val="22"/>
                <w:shd w:val="clear" w:color="auto" w:fill="FFFFFF"/>
                <w:lang w:val="uk-UA"/>
              </w:rPr>
              <w:t>пункт 8 частини першої статті 17 Закону</w:t>
            </w:r>
            <w:r w:rsidRPr="00090D74">
              <w:rPr>
                <w:color w:val="000000"/>
                <w:sz w:val="22"/>
                <w:szCs w:val="22"/>
                <w:shd w:val="clear" w:color="auto" w:fill="FFFFFF"/>
                <w:lang w:val="uk-UA"/>
              </w:rPr>
              <w:t>).</w:t>
            </w:r>
          </w:p>
        </w:tc>
        <w:tc>
          <w:tcPr>
            <w:tcW w:w="4395" w:type="dxa"/>
            <w:shd w:val="clear" w:color="auto" w:fill="auto"/>
            <w:vAlign w:val="center"/>
          </w:tcPr>
          <w:p w14:paraId="4E230FA1" w14:textId="77777777" w:rsidR="00227278" w:rsidRPr="00090D74" w:rsidRDefault="00227278" w:rsidP="00227278">
            <w:pPr>
              <w:jc w:val="both"/>
              <w:rPr>
                <w:sz w:val="22"/>
                <w:szCs w:val="22"/>
                <w:shd w:val="clear" w:color="auto" w:fill="FFFFFF"/>
                <w:lang w:val="uk-UA"/>
              </w:rPr>
            </w:pPr>
            <w:r w:rsidRPr="00090D74">
              <w:rPr>
                <w:b/>
                <w:bCs/>
                <w:sz w:val="22"/>
                <w:szCs w:val="22"/>
                <w:shd w:val="clear" w:color="auto" w:fill="FFFFFF"/>
                <w:lang w:val="uk-UA"/>
              </w:rPr>
              <w:t>Довідка (відомості)</w:t>
            </w:r>
            <w:r w:rsidRPr="00090D74">
              <w:rPr>
                <w:sz w:val="22"/>
                <w:szCs w:val="22"/>
                <w:shd w:val="clear" w:color="auto" w:fill="FFFFFF"/>
                <w:lang w:val="uk-UA"/>
              </w:rPr>
              <w:t xml:space="preserve"> з Єдиного реєстру підприємств, щодо яких порушено провадження у справі про банкрутство.</w:t>
            </w:r>
          </w:p>
          <w:p w14:paraId="321B6922" w14:textId="3860A001" w:rsidR="00227278" w:rsidRPr="00090D74" w:rsidRDefault="00227278" w:rsidP="00227278">
            <w:pPr>
              <w:jc w:val="both"/>
              <w:rPr>
                <w:bCs/>
                <w:sz w:val="22"/>
                <w:szCs w:val="22"/>
                <w:shd w:val="clear" w:color="auto" w:fill="FFFFFF"/>
                <w:lang w:val="uk-UA"/>
              </w:rPr>
            </w:pPr>
            <w:r w:rsidRPr="00090D74">
              <w:rPr>
                <w:bCs/>
                <w:sz w:val="22"/>
                <w:szCs w:val="22"/>
                <w:shd w:val="clear" w:color="auto" w:fill="FFFFFF"/>
                <w:lang w:val="uk-UA"/>
              </w:rPr>
              <w:t>Документ повинен бути виданий не раніше тридцятиденного строку відносно дати оприлюднення оголошення про проведення відкритих торгів за відповідним предметом закупівлі.</w:t>
            </w:r>
          </w:p>
          <w:p w14:paraId="6DE72692" w14:textId="57BF9192" w:rsidR="00C61554" w:rsidRPr="00090D74" w:rsidRDefault="00C61554" w:rsidP="00227278">
            <w:pPr>
              <w:jc w:val="both"/>
              <w:rPr>
                <w:bCs/>
                <w:sz w:val="22"/>
                <w:szCs w:val="22"/>
                <w:shd w:val="clear" w:color="auto" w:fill="FFFFFF"/>
                <w:lang w:val="uk-UA"/>
              </w:rPr>
            </w:pPr>
          </w:p>
          <w:p w14:paraId="6B40627B" w14:textId="2A78E4EA" w:rsidR="00C61554" w:rsidRPr="00090D74" w:rsidRDefault="00C61554" w:rsidP="00227278">
            <w:pPr>
              <w:jc w:val="both"/>
              <w:rPr>
                <w:i/>
                <w:sz w:val="22"/>
                <w:szCs w:val="22"/>
                <w:shd w:val="clear" w:color="auto" w:fill="FFFFFF"/>
                <w:lang w:val="uk-UA"/>
              </w:rPr>
            </w:pPr>
            <w:r w:rsidRPr="00090D74">
              <w:rPr>
                <w:i/>
                <w:sz w:val="22"/>
                <w:szCs w:val="22"/>
                <w:shd w:val="clear" w:color="auto" w:fill="FFFFFF"/>
                <w:lang w:val="uk-UA"/>
              </w:rPr>
              <w:t xml:space="preserve">Якщо переможець через обмежений строк для подання документів не встигає отримати такий документ з причин, від нього не залежних, він може надати </w:t>
            </w:r>
            <w:r w:rsidRPr="00090D74">
              <w:rPr>
                <w:b/>
                <w:bCs/>
                <w:i/>
                <w:sz w:val="22"/>
                <w:szCs w:val="22"/>
                <w:shd w:val="clear" w:color="auto" w:fill="FFFFFF"/>
                <w:lang w:val="uk-UA"/>
              </w:rPr>
              <w:t>гарантійний лист</w:t>
            </w:r>
            <w:r w:rsidRPr="00090D74">
              <w:rPr>
                <w:i/>
                <w:sz w:val="22"/>
                <w:szCs w:val="22"/>
                <w:shd w:val="clear" w:color="auto" w:fill="FFFFFF"/>
                <w:lang w:val="uk-UA"/>
              </w:rPr>
              <w:t>, що підтверджує відсутність цієї підстави із долученням документального підтвердження відповідної інформації, отриманим через електронні ресурси, що надають доступ до даних для громадян та бізнесу (Опендатабот, Youcontrol тощо), оформлений не більше 30 денної давнини відносно дати його подання Замовнику.</w:t>
            </w:r>
          </w:p>
          <w:p w14:paraId="609D086E" w14:textId="77777777" w:rsidR="00227278" w:rsidRPr="00090D74" w:rsidRDefault="00227278" w:rsidP="00227278">
            <w:pPr>
              <w:jc w:val="both"/>
              <w:rPr>
                <w:b/>
                <w:sz w:val="22"/>
                <w:szCs w:val="22"/>
                <w:shd w:val="clear" w:color="auto" w:fill="FFFFFF"/>
                <w:lang w:val="uk-UA"/>
              </w:rPr>
            </w:pPr>
          </w:p>
          <w:p w14:paraId="03593DF4" w14:textId="191367B3" w:rsidR="00227278" w:rsidRPr="00090D74" w:rsidRDefault="00227278" w:rsidP="00227278">
            <w:pPr>
              <w:jc w:val="both"/>
              <w:rPr>
                <w:i/>
                <w:sz w:val="22"/>
                <w:szCs w:val="22"/>
                <w:shd w:val="clear" w:color="auto" w:fill="FFFFFF"/>
                <w:lang w:val="uk-UA"/>
              </w:rPr>
            </w:pPr>
            <w:r w:rsidRPr="00090D74">
              <w:rPr>
                <w:i/>
                <w:sz w:val="22"/>
                <w:szCs w:val="22"/>
                <w:shd w:val="clear" w:color="auto" w:fill="FFFFFF"/>
                <w:lang w:val="uk-UA"/>
              </w:rPr>
              <w:t xml:space="preserve">На момент оприлюднення оголошення про проведення відкритих торгів доступ до Єдиного реєстру підприємств, щодо яких порушено провадження у справі про банкрутство є обмеженим, тому відповідно до пункту 44 Особливостей, переможець процедури закупівлі має </w:t>
            </w:r>
            <w:r w:rsidRPr="00090D74">
              <w:rPr>
                <w:i/>
                <w:sz w:val="22"/>
                <w:szCs w:val="22"/>
                <w:shd w:val="clear" w:color="auto" w:fill="FFFFFF"/>
                <w:lang w:val="uk-UA"/>
              </w:rPr>
              <w:lastRenderedPageBreak/>
              <w:t xml:space="preserve">надати </w:t>
            </w:r>
            <w:r w:rsidR="00C61554" w:rsidRPr="00090D74">
              <w:rPr>
                <w:i/>
                <w:sz w:val="22"/>
                <w:szCs w:val="22"/>
                <w:shd w:val="clear" w:color="auto" w:fill="FFFFFF"/>
                <w:lang w:val="uk-UA"/>
              </w:rPr>
              <w:t>відповідний</w:t>
            </w:r>
            <w:r w:rsidRPr="00090D74">
              <w:rPr>
                <w:i/>
                <w:sz w:val="22"/>
                <w:szCs w:val="22"/>
                <w:shd w:val="clear" w:color="auto" w:fill="FFFFFF"/>
                <w:lang w:val="uk-UA"/>
              </w:rPr>
              <w:t xml:space="preserve"> документ, яким учасник-переможець підтверджує відсутність підстави для відхилення його тендерної пропозиції, передбаченої пунктом 8 частини 1 статті 17 Закону.</w:t>
            </w:r>
          </w:p>
        </w:tc>
      </w:tr>
      <w:tr w:rsidR="00227278" w:rsidRPr="00A16776" w14:paraId="5995A095" w14:textId="77777777" w:rsidTr="00054493">
        <w:trPr>
          <w:trHeight w:val="50"/>
        </w:trPr>
        <w:tc>
          <w:tcPr>
            <w:tcW w:w="568" w:type="dxa"/>
            <w:shd w:val="clear" w:color="auto" w:fill="auto"/>
            <w:vAlign w:val="center"/>
          </w:tcPr>
          <w:p w14:paraId="7BF3DC11" w14:textId="7249F571" w:rsidR="00227278" w:rsidRPr="00090D74" w:rsidRDefault="00C61554" w:rsidP="00227278">
            <w:pPr>
              <w:jc w:val="both"/>
              <w:rPr>
                <w:sz w:val="22"/>
                <w:szCs w:val="22"/>
                <w:highlight w:val="green"/>
                <w:lang w:val="uk-UA"/>
              </w:rPr>
            </w:pPr>
            <w:r w:rsidRPr="00090D74">
              <w:rPr>
                <w:sz w:val="22"/>
                <w:szCs w:val="22"/>
                <w:lang w:val="uk-UA"/>
              </w:rPr>
              <w:lastRenderedPageBreak/>
              <w:t>5</w:t>
            </w:r>
            <w:r w:rsidR="00227278" w:rsidRPr="00090D74">
              <w:rPr>
                <w:sz w:val="22"/>
                <w:szCs w:val="22"/>
                <w:lang w:val="uk-UA"/>
              </w:rPr>
              <w:t>.</w:t>
            </w:r>
          </w:p>
        </w:tc>
        <w:tc>
          <w:tcPr>
            <w:tcW w:w="4476" w:type="dxa"/>
            <w:shd w:val="clear" w:color="auto" w:fill="auto"/>
            <w:vAlign w:val="center"/>
          </w:tcPr>
          <w:p w14:paraId="554E6618" w14:textId="77777777" w:rsidR="00227278" w:rsidRPr="00090D74" w:rsidRDefault="00227278" w:rsidP="00227278">
            <w:pPr>
              <w:jc w:val="both"/>
              <w:rPr>
                <w:sz w:val="22"/>
                <w:szCs w:val="22"/>
                <w:lang w:val="uk-UA"/>
              </w:rPr>
            </w:pPr>
            <w:r w:rsidRPr="00090D74">
              <w:rPr>
                <w:sz w:val="22"/>
                <w:szCs w:val="22"/>
                <w:shd w:val="clear" w:color="auto" w:fill="FFFFFF"/>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090D74">
              <w:rPr>
                <w:b/>
                <w:bCs/>
                <w:sz w:val="22"/>
                <w:szCs w:val="22"/>
                <w:shd w:val="clear" w:color="auto" w:fill="FFFFFF"/>
                <w:lang w:val="uk-UA"/>
              </w:rPr>
              <w:t>частина друга статті 17 Закону</w:t>
            </w:r>
            <w:r w:rsidRPr="00090D74">
              <w:rPr>
                <w:sz w:val="22"/>
                <w:szCs w:val="22"/>
                <w:shd w:val="clear" w:color="auto" w:fill="FFFFFF"/>
                <w:lang w:val="uk-UA"/>
              </w:rPr>
              <w:t>).</w:t>
            </w:r>
          </w:p>
        </w:tc>
        <w:tc>
          <w:tcPr>
            <w:tcW w:w="4395" w:type="dxa"/>
            <w:shd w:val="clear" w:color="auto" w:fill="auto"/>
            <w:vAlign w:val="center"/>
          </w:tcPr>
          <w:p w14:paraId="3BAF928B" w14:textId="77777777" w:rsidR="00227278" w:rsidRPr="00090D74" w:rsidRDefault="00227278" w:rsidP="00227278">
            <w:pPr>
              <w:jc w:val="both"/>
              <w:rPr>
                <w:sz w:val="22"/>
                <w:szCs w:val="22"/>
                <w:highlight w:val="green"/>
                <w:lang w:val="uk-UA"/>
              </w:rPr>
            </w:pPr>
            <w:r w:rsidRPr="00090D74">
              <w:rPr>
                <w:b/>
                <w:bCs/>
                <w:sz w:val="22"/>
                <w:szCs w:val="22"/>
                <w:shd w:val="clear" w:color="auto" w:fill="FFFFFF"/>
                <w:lang w:val="uk-UA"/>
              </w:rPr>
              <w:t>Довідка</w:t>
            </w:r>
            <w:r w:rsidRPr="00090D74">
              <w:rPr>
                <w:sz w:val="22"/>
                <w:szCs w:val="22"/>
                <w:shd w:val="clear" w:color="auto" w:fill="FFFFFF"/>
                <w:lang w:val="uk-UA"/>
              </w:rPr>
              <w:t xml:space="preserve">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5C3E55E9" w14:textId="77777777" w:rsidR="00227278" w:rsidRPr="00090D74" w:rsidRDefault="00227278" w:rsidP="00227278">
      <w:pPr>
        <w:shd w:val="clear" w:color="auto" w:fill="FFFFFF"/>
        <w:contextualSpacing/>
        <w:jc w:val="both"/>
        <w:rPr>
          <w:i/>
          <w:color w:val="000000"/>
          <w:sz w:val="22"/>
          <w:szCs w:val="22"/>
          <w:lang w:val="uk-UA"/>
        </w:rPr>
      </w:pPr>
    </w:p>
    <w:p w14:paraId="5E72A70E" w14:textId="77777777" w:rsidR="00227278" w:rsidRPr="00090D74" w:rsidRDefault="00227278" w:rsidP="00227278">
      <w:pPr>
        <w:shd w:val="clear" w:color="auto" w:fill="FFFFFF"/>
        <w:contextualSpacing/>
        <w:jc w:val="both"/>
        <w:rPr>
          <w:i/>
          <w:color w:val="000000"/>
          <w:sz w:val="22"/>
          <w:szCs w:val="22"/>
          <w:lang w:val="uk-UA"/>
        </w:rPr>
      </w:pPr>
    </w:p>
    <w:p w14:paraId="6F7FB500" w14:textId="77777777" w:rsidR="00227278" w:rsidRPr="00090D74" w:rsidRDefault="00227278" w:rsidP="00227278">
      <w:pPr>
        <w:shd w:val="clear" w:color="auto" w:fill="FFFFFF"/>
        <w:contextualSpacing/>
        <w:jc w:val="both"/>
        <w:rPr>
          <w:i/>
          <w:color w:val="000000"/>
          <w:sz w:val="22"/>
          <w:szCs w:val="22"/>
          <w:lang w:val="uk-UA"/>
        </w:rPr>
      </w:pPr>
    </w:p>
    <w:p w14:paraId="114FB6F1" w14:textId="77777777" w:rsidR="00227278" w:rsidRPr="00090D74" w:rsidRDefault="00227278" w:rsidP="00227278">
      <w:pPr>
        <w:shd w:val="clear" w:color="auto" w:fill="FFFFFF"/>
        <w:contextualSpacing/>
        <w:jc w:val="both"/>
        <w:rPr>
          <w:i/>
          <w:color w:val="000000"/>
          <w:sz w:val="22"/>
          <w:szCs w:val="22"/>
          <w:lang w:val="uk-UA"/>
        </w:rPr>
      </w:pPr>
    </w:p>
    <w:p w14:paraId="58939F82" w14:textId="77777777" w:rsidR="001D3072" w:rsidRPr="00090D74" w:rsidRDefault="001D3072">
      <w:pPr>
        <w:rPr>
          <w:lang w:val="uk-UA"/>
        </w:rPr>
      </w:pPr>
    </w:p>
    <w:sectPr w:rsidR="001D3072" w:rsidRPr="00090D7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174778"/>
    <w:multiLevelType w:val="multilevel"/>
    <w:tmpl w:val="7892EBE4"/>
    <w:lvl w:ilvl="0">
      <w:start w:val="1"/>
      <w:numFmt w:val="decimal"/>
      <w:suff w:val="space"/>
      <w:lvlText w:val="%1"/>
      <w:lvlJc w:val="center"/>
      <w:pPr>
        <w:ind w:left="432" w:hanging="144"/>
      </w:pPr>
      <w:rPr>
        <w:rFonts w:ascii="Times New Roman" w:hAnsi="Times New Roman" w:hint="default"/>
        <w:b/>
        <w:i w:val="0"/>
        <w:caps w:val="0"/>
        <w:strike w:val="0"/>
        <w:dstrike w:val="0"/>
        <w:shadow w:val="0"/>
        <w:emboss w:val="0"/>
        <w:imprint w:val="0"/>
        <w:vanish w:val="0"/>
        <w:sz w:val="20"/>
        <w:vertAlign w:val="baseline"/>
      </w:rPr>
    </w:lvl>
    <w:lvl w:ilvl="1">
      <w:start w:val="1"/>
      <w:numFmt w:val="decimal"/>
      <w:suff w:val="space"/>
      <w:lvlText w:val="%1.%2"/>
      <w:lvlJc w:val="left"/>
      <w:pPr>
        <w:ind w:left="576" w:hanging="576"/>
      </w:pPr>
      <w:rPr>
        <w:rFonts w:ascii="Times New Roman" w:hAnsi="Times New Roman" w:hint="default"/>
      </w:rPr>
    </w:lvl>
    <w:lvl w:ilvl="2">
      <w:start w:val="1"/>
      <w:numFmt w:val="bullet"/>
      <w:suff w:val="space"/>
      <w:lvlText w:val=""/>
      <w:lvlJc w:val="left"/>
      <w:pPr>
        <w:ind w:left="720" w:firstLine="131"/>
      </w:pPr>
      <w:rPr>
        <w:rFonts w:ascii="Symbol" w:hAnsi="Symbol" w:hint="default"/>
        <w:b w:val="0"/>
        <w:i w:val="0"/>
        <w:sz w:val="20"/>
      </w:r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num w:numId="1" w16cid:durableId="1888493625">
    <w:abstractNumId w:val="0"/>
  </w:num>
  <w:num w:numId="2" w16cid:durableId="1162622705">
    <w:abstractNumId w:val="0"/>
  </w:num>
  <w:num w:numId="3" w16cid:durableId="1691712022">
    <w:abstractNumId w:val="0"/>
  </w:num>
  <w:num w:numId="4" w16cid:durableId="944314724">
    <w:abstractNumId w:val="0"/>
  </w:num>
  <w:num w:numId="5" w16cid:durableId="1610163349">
    <w:abstractNumId w:val="0"/>
  </w:num>
  <w:num w:numId="6" w16cid:durableId="475493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CDE"/>
    <w:rsid w:val="00090D74"/>
    <w:rsid w:val="001363BC"/>
    <w:rsid w:val="001D3072"/>
    <w:rsid w:val="00227278"/>
    <w:rsid w:val="0023237A"/>
    <w:rsid w:val="00242302"/>
    <w:rsid w:val="005A6CDE"/>
    <w:rsid w:val="006B1E39"/>
    <w:rsid w:val="007C60A2"/>
    <w:rsid w:val="009808D9"/>
    <w:rsid w:val="00A16776"/>
    <w:rsid w:val="00C61554"/>
    <w:rsid w:val="00C87FE5"/>
    <w:rsid w:val="00E84AFD"/>
    <w:rsid w:val="00F933CC"/>
    <w:rsid w:val="00FC3F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DE96"/>
  <w15:chartTrackingRefBased/>
  <w15:docId w15:val="{E0CBAAA1-2EF6-4C9B-B6CD-74603CF1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60A2"/>
    <w:rPr>
      <w:lang w:val="ru-RU" w:eastAsia="ru-RU"/>
    </w:rPr>
  </w:style>
  <w:style w:type="paragraph" w:styleId="1">
    <w:name w:val="heading 1"/>
    <w:basedOn w:val="a"/>
    <w:next w:val="a"/>
    <w:link w:val="10"/>
    <w:qFormat/>
    <w:rsid w:val="007C60A2"/>
    <w:pPr>
      <w:keepNext/>
      <w:tabs>
        <w:tab w:val="left" w:pos="8306"/>
      </w:tabs>
      <w:ind w:left="150"/>
      <w:outlineLvl w:val="0"/>
    </w:pPr>
    <w:rPr>
      <w:b/>
    </w:rPr>
  </w:style>
  <w:style w:type="paragraph" w:styleId="2">
    <w:name w:val="heading 2"/>
    <w:basedOn w:val="a"/>
    <w:next w:val="a"/>
    <w:link w:val="20"/>
    <w:qFormat/>
    <w:rsid w:val="007C60A2"/>
    <w:pPr>
      <w:keepNext/>
      <w:tabs>
        <w:tab w:val="left" w:pos="8306"/>
      </w:tabs>
      <w:ind w:left="6804"/>
      <w:outlineLvl w:val="1"/>
    </w:pPr>
    <w:rPr>
      <w:i/>
    </w:rPr>
  </w:style>
  <w:style w:type="paragraph" w:styleId="3">
    <w:name w:val="heading 3"/>
    <w:basedOn w:val="a"/>
    <w:next w:val="a"/>
    <w:link w:val="30"/>
    <w:qFormat/>
    <w:rsid w:val="007C60A2"/>
    <w:pPr>
      <w:keepNext/>
      <w:tabs>
        <w:tab w:val="left" w:pos="8306"/>
      </w:tabs>
      <w:jc w:val="center"/>
      <w:outlineLvl w:val="2"/>
    </w:pPr>
    <w:rPr>
      <w:b/>
    </w:rPr>
  </w:style>
  <w:style w:type="paragraph" w:styleId="4">
    <w:name w:val="heading 4"/>
    <w:basedOn w:val="a"/>
    <w:next w:val="a"/>
    <w:link w:val="40"/>
    <w:qFormat/>
    <w:rsid w:val="007C60A2"/>
    <w:pPr>
      <w:keepNext/>
      <w:numPr>
        <w:ilvl w:val="3"/>
        <w:numId w:val="6"/>
      </w:numPr>
      <w:spacing w:before="240" w:after="60"/>
      <w:outlineLvl w:val="3"/>
    </w:pPr>
    <w:rPr>
      <w:rFonts w:ascii="Arial" w:hAnsi="Arial"/>
      <w:b/>
      <w:sz w:val="24"/>
    </w:rPr>
  </w:style>
  <w:style w:type="paragraph" w:styleId="5">
    <w:name w:val="heading 5"/>
    <w:basedOn w:val="a"/>
    <w:next w:val="a"/>
    <w:link w:val="50"/>
    <w:qFormat/>
    <w:rsid w:val="007C60A2"/>
    <w:pPr>
      <w:numPr>
        <w:ilvl w:val="4"/>
        <w:numId w:val="6"/>
      </w:numPr>
      <w:spacing w:before="240" w:after="60"/>
      <w:outlineLvl w:val="4"/>
    </w:pPr>
    <w:rPr>
      <w:sz w:val="22"/>
    </w:rPr>
  </w:style>
  <w:style w:type="paragraph" w:styleId="6">
    <w:name w:val="heading 6"/>
    <w:basedOn w:val="a"/>
    <w:next w:val="a"/>
    <w:link w:val="60"/>
    <w:qFormat/>
    <w:rsid w:val="007C60A2"/>
    <w:pPr>
      <w:numPr>
        <w:ilvl w:val="5"/>
        <w:numId w:val="6"/>
      </w:numPr>
      <w:spacing w:before="240" w:after="60"/>
      <w:outlineLvl w:val="5"/>
    </w:pPr>
    <w:rPr>
      <w:i/>
      <w:sz w:val="22"/>
    </w:rPr>
  </w:style>
  <w:style w:type="paragraph" w:styleId="7">
    <w:name w:val="heading 7"/>
    <w:basedOn w:val="a"/>
    <w:next w:val="a"/>
    <w:link w:val="70"/>
    <w:qFormat/>
    <w:rsid w:val="007C60A2"/>
    <w:pPr>
      <w:numPr>
        <w:ilvl w:val="6"/>
        <w:numId w:val="6"/>
      </w:numPr>
      <w:spacing w:before="240" w:after="60"/>
      <w:outlineLvl w:val="6"/>
    </w:pPr>
    <w:rPr>
      <w:rFonts w:ascii="Arial" w:hAnsi="Arial"/>
    </w:rPr>
  </w:style>
  <w:style w:type="paragraph" w:styleId="8">
    <w:name w:val="heading 8"/>
    <w:basedOn w:val="a"/>
    <w:next w:val="a"/>
    <w:link w:val="80"/>
    <w:qFormat/>
    <w:rsid w:val="007C60A2"/>
    <w:pPr>
      <w:numPr>
        <w:ilvl w:val="7"/>
        <w:numId w:val="6"/>
      </w:numPr>
      <w:spacing w:before="240" w:after="60"/>
      <w:outlineLvl w:val="7"/>
    </w:pPr>
    <w:rPr>
      <w:rFonts w:ascii="Arial" w:hAnsi="Arial"/>
      <w:i/>
    </w:rPr>
  </w:style>
  <w:style w:type="paragraph" w:styleId="9">
    <w:name w:val="heading 9"/>
    <w:basedOn w:val="a"/>
    <w:next w:val="a"/>
    <w:link w:val="90"/>
    <w:qFormat/>
    <w:rsid w:val="007C60A2"/>
    <w:pPr>
      <w:numPr>
        <w:ilvl w:val="8"/>
        <w:numId w:val="6"/>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0A2"/>
    <w:rPr>
      <w:b/>
      <w:lang w:val="ru-RU" w:eastAsia="ru-RU"/>
    </w:rPr>
  </w:style>
  <w:style w:type="character" w:customStyle="1" w:styleId="20">
    <w:name w:val="Заголовок 2 Знак"/>
    <w:basedOn w:val="a0"/>
    <w:link w:val="2"/>
    <w:rsid w:val="007C60A2"/>
    <w:rPr>
      <w:i/>
      <w:lang w:val="ru-RU" w:eastAsia="ru-RU"/>
    </w:rPr>
  </w:style>
  <w:style w:type="character" w:customStyle="1" w:styleId="30">
    <w:name w:val="Заголовок 3 Знак"/>
    <w:basedOn w:val="a0"/>
    <w:link w:val="3"/>
    <w:rsid w:val="007C60A2"/>
    <w:rPr>
      <w:b/>
      <w:lang w:val="ru-RU" w:eastAsia="ru-RU"/>
    </w:rPr>
  </w:style>
  <w:style w:type="character" w:customStyle="1" w:styleId="40">
    <w:name w:val="Заголовок 4 Знак"/>
    <w:basedOn w:val="a0"/>
    <w:link w:val="4"/>
    <w:rsid w:val="007C60A2"/>
    <w:rPr>
      <w:rFonts w:ascii="Arial" w:hAnsi="Arial"/>
      <w:b/>
      <w:sz w:val="24"/>
      <w:lang w:val="ru-RU" w:eastAsia="ru-RU"/>
    </w:rPr>
  </w:style>
  <w:style w:type="character" w:customStyle="1" w:styleId="50">
    <w:name w:val="Заголовок 5 Знак"/>
    <w:basedOn w:val="a0"/>
    <w:link w:val="5"/>
    <w:rsid w:val="007C60A2"/>
    <w:rPr>
      <w:sz w:val="22"/>
      <w:lang w:val="ru-RU" w:eastAsia="ru-RU"/>
    </w:rPr>
  </w:style>
  <w:style w:type="character" w:customStyle="1" w:styleId="60">
    <w:name w:val="Заголовок 6 Знак"/>
    <w:basedOn w:val="a0"/>
    <w:link w:val="6"/>
    <w:rsid w:val="007C60A2"/>
    <w:rPr>
      <w:i/>
      <w:sz w:val="22"/>
      <w:lang w:val="ru-RU" w:eastAsia="ru-RU"/>
    </w:rPr>
  </w:style>
  <w:style w:type="character" w:customStyle="1" w:styleId="70">
    <w:name w:val="Заголовок 7 Знак"/>
    <w:basedOn w:val="a0"/>
    <w:link w:val="7"/>
    <w:rsid w:val="007C60A2"/>
    <w:rPr>
      <w:rFonts w:ascii="Arial" w:hAnsi="Arial"/>
      <w:lang w:val="ru-RU" w:eastAsia="ru-RU"/>
    </w:rPr>
  </w:style>
  <w:style w:type="character" w:customStyle="1" w:styleId="80">
    <w:name w:val="Заголовок 8 Знак"/>
    <w:basedOn w:val="a0"/>
    <w:link w:val="8"/>
    <w:rsid w:val="007C60A2"/>
    <w:rPr>
      <w:rFonts w:ascii="Arial" w:hAnsi="Arial"/>
      <w:i/>
      <w:lang w:val="ru-RU" w:eastAsia="ru-RU"/>
    </w:rPr>
  </w:style>
  <w:style w:type="character" w:customStyle="1" w:styleId="90">
    <w:name w:val="Заголовок 9 Знак"/>
    <w:basedOn w:val="a0"/>
    <w:link w:val="9"/>
    <w:rsid w:val="007C60A2"/>
    <w:rPr>
      <w:rFonts w:ascii="Arial" w:hAnsi="Arial"/>
      <w:b/>
      <w:i/>
      <w:sz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pr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922-19/prin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print" TargetMode="External"/><Relationship Id="rId11" Type="http://schemas.openxmlformats.org/officeDocument/2006/relationships/hyperlink" Target="http://vytiah.mvs.gov.ua/app/landing." TargetMode="External"/><Relationship Id="rId5" Type="http://schemas.openxmlformats.org/officeDocument/2006/relationships/webSettings" Target="webSettings.xml"/><Relationship Id="rId10"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https://zakon.rada.gov.ua/laws/show/922-19/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39E74-CFAB-4A23-A287-E9A323A39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9519</Words>
  <Characters>5426</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ID10480069</dc:creator>
  <cp:keywords/>
  <dc:description/>
  <cp:lastModifiedBy>ID10480069</cp:lastModifiedBy>
  <cp:revision>13</cp:revision>
  <dcterms:created xsi:type="dcterms:W3CDTF">2022-10-27T14:43:00Z</dcterms:created>
  <dcterms:modified xsi:type="dcterms:W3CDTF">2022-12-14T10:30:00Z</dcterms:modified>
</cp:coreProperties>
</file>