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36D5F" w:rsidRPr="00306A24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436D5F" w:rsidRPr="001B51DE" w:rsidRDefault="00436D5F" w:rsidP="0043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Обсяги робіт при наданні послуг по демонтажу</w:t>
      </w:r>
      <w:r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,</w:t>
      </w: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монтажу</w:t>
      </w: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 xml:space="preserve"> стояків контактної мережі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163"/>
        <w:gridCol w:w="1728"/>
        <w:gridCol w:w="1187"/>
      </w:tblGrid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№ з/п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Найменування виду робіт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Кількість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Нарізання швів у </w:t>
            </w:r>
            <w:proofErr w:type="spellStart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асфальто-бетонному</w:t>
            </w:r>
            <w:proofErr w:type="spellEnd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 покритті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 шва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150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Розбирання </w:t>
            </w:r>
            <w:proofErr w:type="spellStart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асфальто-бетонного</w:t>
            </w:r>
            <w:proofErr w:type="spellEnd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 покриття і основи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13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Розбирання тротуарної плитки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13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Розробка </w:t>
            </w:r>
            <w:proofErr w:type="spellStart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грунту</w:t>
            </w:r>
            <w:proofErr w:type="spellEnd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 вручну в траншеях шириною понад 2 м і котлованах площею перерізу до 5 м² з кріпленням при глибині траншей і котлованів до 2 м в місцях, що знаходяться на відстані до 1 м від незахищених кабелів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50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Навантаження </w:t>
            </w:r>
            <w:proofErr w:type="spellStart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грунту</w:t>
            </w:r>
            <w:proofErr w:type="spellEnd"/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 вручну на автомобіль-самоскид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50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Демонтаж залізобетонних, металевих стояків контактної мережі з бетонним фундаментом вагою до 3,0 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стояк, </w:t>
            </w:r>
          </w:p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25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7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Навантаження демонтованого стояка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70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8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Установлення залізобетонних, металевих стояків контактної мережі масою до 3,5 т з бурінням котлованів під монолітні фундаменти, глибина буріння 2 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стояк,</w:t>
            </w:r>
          </w:p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25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Укладання бетонної суміші бетоновозами при пошаровому бетонування (розхідний матеріал (бетон) Виконавця)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50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Планування площ ручним способом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210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Улаштування покриттів товщиною 4 см із гарячих асфальтобетонних сумішей (розхідний матеріал Виконавця)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13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Укладка плитки з улаштуванням основи під плитку 10 см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13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suppressAutoHyphens/>
              <w:spacing w:line="288" w:lineRule="auto"/>
              <w:rPr>
                <w:rFonts w:ascii="Times New Roman" w:eastAsia="DejaVu Sans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DejaVu Sans" w:hAnsi="Times New Roman" w:cs="Times New Roman"/>
                <w:color w:val="auto"/>
                <w:kern w:val="2"/>
                <w:lang w:val="uk-UA" w:eastAsia="zh-CN" w:bidi="hi-IN"/>
              </w:rPr>
              <w:t>Перевезення сміття до 15 км на полігон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125</w:t>
            </w:r>
          </w:p>
        </w:tc>
      </w:tr>
      <w:tr w:rsidR="00436D5F" w:rsidRPr="001B51DE" w:rsidTr="00EA47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5F" w:rsidRPr="001B51DE" w:rsidRDefault="00436D5F" w:rsidP="00EA4729">
            <w:pPr>
              <w:widowControl w:val="0"/>
              <w:suppressAutoHyphens/>
              <w:spacing w:line="288" w:lineRule="auto"/>
              <w:rPr>
                <w:rFonts w:ascii="Times New Roman" w:eastAsia="DejaVu Sans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DejaVu Sans" w:hAnsi="Times New Roman" w:cs="Times New Roman"/>
                <w:color w:val="auto"/>
                <w:kern w:val="2"/>
                <w:lang w:val="uk-UA" w:eastAsia="zh-CN" w:bidi="hi-IN"/>
              </w:rPr>
              <w:t>Перевезення стояків до 15 км на полігон для утилізації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стояк,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 xml:space="preserve"> </w:t>
            </w: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25</w:t>
            </w:r>
          </w:p>
        </w:tc>
      </w:tr>
    </w:tbl>
    <w:p w:rsidR="00436D5F" w:rsidRPr="001B51DE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 w:rsidRPr="001B51DE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 xml:space="preserve">      </w:t>
      </w: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</w:t>
      </w:r>
    </w:p>
    <w:p w:rsidR="00436D5F" w:rsidRPr="001B51DE" w:rsidRDefault="00436D5F" w:rsidP="00436D5F">
      <w:pPr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Для надання Виконавцем послуг по демонтажу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монтажу</w:t>
      </w: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стояків контактної мережі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Замовник надає власні стояки для заміни. Доставка стояків від складу Замовника (</w:t>
      </w:r>
      <w:proofErr w:type="spellStart"/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м.Полтава</w:t>
      </w:r>
      <w:proofErr w:type="spellEnd"/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вул.С.Халтуріна</w:t>
      </w:r>
      <w:proofErr w:type="spellEnd"/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,10) до місць заміни здійснюється за рахунок Виконавця.</w:t>
      </w:r>
    </w:p>
    <w:p w:rsidR="00436D5F" w:rsidRPr="001B51DE" w:rsidRDefault="00436D5F" w:rsidP="00436D5F">
      <w:pPr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</w:pPr>
      <w:r w:rsidRPr="001B51D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Вимоги до Учасника:  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Наявність у Виконавця документів, виданих державними органами, що дозволяють надання послуг по монтажу, демонтажу стояків контактної мережі (якщо це передбачено законодавством).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При наданні послуг по предмету закупівлі 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В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иконавець  використовує власні розхідні матеріали та спеціалізовану автомобільну техніку. Якщо у виконавця відсутня вказана техніка, то орендувати її виконавець має за власний рахунок.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Виконавець узгоджує роботи з представниками  підземних комунікацій (обленерго, </w:t>
      </w:r>
      <w:proofErr w:type="spellStart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міськсвітло</w:t>
      </w:r>
      <w:proofErr w:type="spellEnd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, </w:t>
      </w:r>
      <w:proofErr w:type="spellStart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укртелеком</w:t>
      </w:r>
      <w:proofErr w:type="spellEnd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, водоканал та ін.) та з національною поліцією.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Виконавець забезпечує отримання дозвільних документів на порушення об’єктів благоустрою у відповідних організаціях.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При наданні послуг Виконавець застосовує заходи щодо захисту довкілля, передбачені законодавством.</w:t>
      </w:r>
    </w:p>
    <w:p w:rsidR="00436D5F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На початку надання послуг, Виконавець повинен узгодити із замовником обсяги робіт та підписати Дефектний акт. По закінченню надання послуг Виконавець надає замовнику Акт </w:t>
      </w:r>
      <w:proofErr w:type="spellStart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lastRenderedPageBreak/>
        <w:t>п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риймання-предачі</w:t>
      </w:r>
      <w:proofErr w:type="spellEnd"/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наданих послуг та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Рахунок на оплату.</w:t>
      </w: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:rsidR="002D0BC7" w:rsidRPr="00436D5F" w:rsidRDefault="002D0BC7">
      <w:pPr>
        <w:rPr>
          <w:lang w:val="uk-UA"/>
        </w:rPr>
      </w:pPr>
      <w:bookmarkStart w:id="0" w:name="_GoBack"/>
      <w:bookmarkEnd w:id="0"/>
    </w:p>
    <w:sectPr w:rsidR="002D0BC7" w:rsidRPr="004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D0BC7"/>
    <w:rsid w:val="004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1</cp:revision>
  <dcterms:created xsi:type="dcterms:W3CDTF">2023-01-31T11:35:00Z</dcterms:created>
  <dcterms:modified xsi:type="dcterms:W3CDTF">2023-01-31T11:35:00Z</dcterms:modified>
</cp:coreProperties>
</file>