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4"/>
        <w:gridCol w:w="2234"/>
        <w:gridCol w:w="1927"/>
        <w:gridCol w:w="1574"/>
        <w:gridCol w:w="2724"/>
        <w:gridCol w:w="843"/>
        <w:gridCol w:w="475"/>
      </w:tblGrid>
      <w:tr w:rsidR="006064A2" w:rsidRPr="004744BE" w:rsidTr="004744BE">
        <w:tc>
          <w:tcPr>
            <w:tcW w:w="442" w:type="dxa"/>
            <w:vAlign w:val="center"/>
          </w:tcPr>
          <w:p w:rsidR="00993710" w:rsidRPr="004744BE" w:rsidRDefault="00993710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2" w:type="dxa"/>
            <w:vAlign w:val="center"/>
          </w:tcPr>
          <w:p w:rsidR="00993710" w:rsidRPr="004744BE" w:rsidRDefault="00993710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за НК 024:2019</w:t>
            </w:r>
          </w:p>
        </w:tc>
        <w:tc>
          <w:tcPr>
            <w:tcW w:w="1927" w:type="dxa"/>
            <w:vAlign w:val="center"/>
          </w:tcPr>
          <w:p w:rsidR="00993710" w:rsidRPr="004744BE" w:rsidRDefault="00993710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538" w:type="dxa"/>
            <w:vAlign w:val="center"/>
          </w:tcPr>
          <w:p w:rsidR="00993710" w:rsidRPr="004744BE" w:rsidRDefault="00993710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 (заповнюється учасником)</w:t>
            </w:r>
          </w:p>
        </w:tc>
        <w:tc>
          <w:tcPr>
            <w:tcW w:w="2928" w:type="dxa"/>
            <w:vAlign w:val="center"/>
          </w:tcPr>
          <w:p w:rsidR="00993710" w:rsidRPr="004744BE" w:rsidRDefault="00993710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Медико-технічні вимоги</w:t>
            </w:r>
          </w:p>
        </w:tc>
        <w:tc>
          <w:tcPr>
            <w:tcW w:w="809" w:type="dxa"/>
            <w:vAlign w:val="center"/>
          </w:tcPr>
          <w:p w:rsidR="00993710" w:rsidRPr="004744BE" w:rsidRDefault="00993710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525" w:type="dxa"/>
            <w:vAlign w:val="center"/>
          </w:tcPr>
          <w:p w:rsidR="00993710" w:rsidRPr="004744BE" w:rsidRDefault="00993710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</w:p>
        </w:tc>
      </w:tr>
      <w:tr w:rsidR="006064A2" w:rsidRPr="004744BE" w:rsidTr="004744BE">
        <w:tc>
          <w:tcPr>
            <w:tcW w:w="442" w:type="dxa"/>
            <w:vAlign w:val="center"/>
          </w:tcPr>
          <w:p w:rsidR="006064A2" w:rsidRPr="004744BE" w:rsidRDefault="006064A2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53251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Креатинін IVD, набір,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спектрофото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-метричний аналіз</w:t>
            </w:r>
          </w:p>
        </w:tc>
        <w:tc>
          <w:tcPr>
            <w:tcW w:w="1927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Діагностичний набір для визначення концентрації креатиніну</w:t>
            </w:r>
          </w:p>
        </w:tc>
        <w:tc>
          <w:tcPr>
            <w:tcW w:w="1538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Фасування:R1: 5x48 мл,R2: 1x60 мл.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Креатинін має визначатись на біохімічному аналізаторі модифікованим методом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Яффе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Jaffe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) без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депротеїнізації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взаємодією з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пікратом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у лужному середовищі.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LoB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(Межа бланку):не гірше як 0.01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LoD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(Межа виявлення):не гірше як 0.04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Лінійність: не менше як до 17,5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LoQ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(Кількісна межа виявлення):не гірше 0.6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Гемоглобін до 2.5 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тригліцериди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до 500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, аскорбінова кислота до 62 мг/л та білірубін до 20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не повинні впливати на результати вимірювань.</w:t>
            </w:r>
          </w:p>
        </w:tc>
        <w:tc>
          <w:tcPr>
            <w:tcW w:w="809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525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4A2" w:rsidRPr="004744BE" w:rsidTr="004744BE">
        <w:tc>
          <w:tcPr>
            <w:tcW w:w="442" w:type="dxa"/>
            <w:vAlign w:val="center"/>
          </w:tcPr>
          <w:p w:rsidR="006064A2" w:rsidRPr="004744BE" w:rsidRDefault="006064A2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52954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аспартат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-амінотрансфераз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а (AST) IVD (діагностика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), набір, ферментний спектрофотометричний аналіз</w:t>
            </w:r>
          </w:p>
        </w:tc>
        <w:tc>
          <w:tcPr>
            <w:tcW w:w="1927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Діагностичний набір для визначення активності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аспартат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-амінотрансферази</w:t>
            </w:r>
          </w:p>
        </w:tc>
        <w:tc>
          <w:tcPr>
            <w:tcW w:w="1538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 R1: 5x48 мл, R2: 1x60 мл.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Аспартатамінотрансфераза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має визначатись на біохімічному аналізаторі оптимізованим і модифікованим методом, розроблений з урахуванням рекомендацій Міжнародної Федерації Клінічної Хімії (IFCC), без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піридоксальфосфату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Межа кількісного визначення: не вище як 7 Од/л.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Лінійність: не нижче як 650 Од/л.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Гемоглобін до 0.63 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, аскорбінова кислота до 62 мг/л, білірубін до 20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тригліцериди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до 1000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не повинні впливати на результати вимірювань.</w:t>
            </w:r>
          </w:p>
        </w:tc>
        <w:tc>
          <w:tcPr>
            <w:tcW w:w="809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525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4A2" w:rsidRPr="004744BE" w:rsidTr="004744BE">
        <w:tc>
          <w:tcPr>
            <w:tcW w:w="442" w:type="dxa"/>
            <w:vAlign w:val="center"/>
          </w:tcPr>
          <w:p w:rsidR="006064A2" w:rsidRPr="004744BE" w:rsidRDefault="006064A2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52923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Аланін-амінотрансфераза (ALT) IVD, набір, ферментний </w:t>
            </w:r>
            <w:r w:rsidRPr="00474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спектрофотометричний аналіз</w:t>
            </w:r>
          </w:p>
        </w:tc>
        <w:tc>
          <w:tcPr>
            <w:tcW w:w="1927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Діагностичний набір для визначення активності аланін-амінотрансферази</w:t>
            </w:r>
          </w:p>
        </w:tc>
        <w:tc>
          <w:tcPr>
            <w:tcW w:w="1538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 R1: 5x48 мл,R2: 1x60 мл.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Аланінамінотрансфераза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має визначатись на біохімічному аналізаторі оптимізованим і </w:t>
            </w:r>
            <w:r w:rsidRPr="00474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модифікованим методом, розроблений з урахуванням рекомендацій Міжнародної Федерації Клінічної Хімії (IFCC), без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піридоксальфосфату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Межа кількісного визначення: не гірше як 8 Од/л.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Лінійність: не нижче як до 600 Од/л.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2 - 10°C стабільними не менше 8 тижнів.</w:t>
            </w:r>
          </w:p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Гемоглобін до 0.31 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, аскорбінова кислота до 62 мг/л, білірубін до 20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тригліцериди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до 1000 мг/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не повинні впливати на результати вимірювань.</w:t>
            </w:r>
          </w:p>
        </w:tc>
        <w:tc>
          <w:tcPr>
            <w:tcW w:w="809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</w:p>
        </w:tc>
        <w:tc>
          <w:tcPr>
            <w:tcW w:w="525" w:type="dxa"/>
            <w:vAlign w:val="center"/>
          </w:tcPr>
          <w:p w:rsidR="006064A2" w:rsidRPr="004744BE" w:rsidRDefault="006064A2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224" w:rsidRPr="004744BE" w:rsidTr="004744BE">
        <w:tc>
          <w:tcPr>
            <w:tcW w:w="442" w:type="dxa"/>
            <w:vAlign w:val="center"/>
          </w:tcPr>
          <w:p w:rsidR="00C51224" w:rsidRPr="004744BE" w:rsidRDefault="00C51224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Протромбіновий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час, рідкий</w:t>
            </w:r>
          </w:p>
        </w:tc>
        <w:tc>
          <w:tcPr>
            <w:tcW w:w="1927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30591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Набір реагентів для вимірювання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протромбінового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часу (ПЧ) IVD</w:t>
            </w:r>
          </w:p>
        </w:tc>
        <w:tc>
          <w:tcPr>
            <w:tcW w:w="153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Фасування:12х4 мл.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Набір повинен бути рідким, готовим до використання, призначеним для визначення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протромбінового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часу, а також факторів II, V, VII і X.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реагенту на 1 дослідження: не більш як 100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Відкриті флакони повинні бути стабільні протягом не менш як 12 днів за температури 2-8°С.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Доступні межі інтерференцій: гепарин ≤ 0,75 МО/мл, гемоглобін ≤ 6,8 г/л,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тригліцериди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≤ 8 ммоль/л, білірубін ≤ 270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/л.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Точність у межах аналізу: CV&lt;0,6%.</w:t>
            </w:r>
          </w:p>
        </w:tc>
        <w:tc>
          <w:tcPr>
            <w:tcW w:w="809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525" w:type="dxa"/>
            <w:vAlign w:val="center"/>
          </w:tcPr>
          <w:p w:rsidR="00C51224" w:rsidRPr="004744BE" w:rsidRDefault="004744BE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224" w:rsidRPr="004744BE" w:rsidTr="004744BE">
        <w:tc>
          <w:tcPr>
            <w:tcW w:w="442" w:type="dxa"/>
            <w:vAlign w:val="center"/>
          </w:tcPr>
          <w:p w:rsidR="00C51224" w:rsidRPr="004744BE" w:rsidRDefault="00C51224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АЧТЧ, рідкий</w:t>
            </w:r>
          </w:p>
        </w:tc>
        <w:tc>
          <w:tcPr>
            <w:tcW w:w="1927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55981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Активований частковий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тромбопластиновий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час ІВД, набір, аналіз утворення згустку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 12х2 мл.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Набір повинен бути рідким, готовим до використання, призначеним для визначення активованого часткового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тромбопластинового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часу, а також факторів I, II, V, VIII, IX, X, XI та XI.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реагенту на 1 дослідження: не більш як 50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Відкриті флакони повинні бути стабільні протягом не менш як 14 днів за температури 2-8°С.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Доступні межі інтерференцій: гемоглобін ≤ 3,4 г/л,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тригліцериди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 ≤ 10 ммоль/л, білірубін ≤ 240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/л.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Точність у межах аналізу: CV&lt;0,5%.</w:t>
            </w:r>
          </w:p>
        </w:tc>
        <w:tc>
          <w:tcPr>
            <w:tcW w:w="809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525" w:type="dxa"/>
            <w:vAlign w:val="center"/>
          </w:tcPr>
          <w:p w:rsidR="00C51224" w:rsidRPr="004744BE" w:rsidRDefault="004744BE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224" w:rsidRPr="004744BE" w:rsidTr="004744BE">
        <w:tc>
          <w:tcPr>
            <w:tcW w:w="442" w:type="dxa"/>
            <w:vAlign w:val="center"/>
          </w:tcPr>
          <w:p w:rsidR="00C51224" w:rsidRPr="004744BE" w:rsidRDefault="00C51224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30593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Кальцію хлорид. Реагент для аналізу утворення згустку IVD</w:t>
            </w:r>
          </w:p>
        </w:tc>
        <w:tc>
          <w:tcPr>
            <w:tcW w:w="1927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Розчин кальцію хлориду</w:t>
            </w:r>
          </w:p>
        </w:tc>
        <w:tc>
          <w:tcPr>
            <w:tcW w:w="153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Cs/>
                <w:sz w:val="20"/>
                <w:szCs w:val="20"/>
              </w:rPr>
              <w:t>Фасування: 12х4 мл.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Cs/>
                <w:sz w:val="20"/>
                <w:szCs w:val="20"/>
              </w:rPr>
              <w:t>0,025М буферний розчин кальцію хлориду із консервантом.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Cs/>
                <w:sz w:val="20"/>
                <w:szCs w:val="20"/>
              </w:rPr>
              <w:t>Готовий до використання. Відкриті флакони повинні бути стабільні протягом не менш як 8 тижнів за температури 2-8°С.</w:t>
            </w:r>
          </w:p>
        </w:tc>
        <w:tc>
          <w:tcPr>
            <w:tcW w:w="809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525" w:type="dxa"/>
            <w:vAlign w:val="center"/>
          </w:tcPr>
          <w:p w:rsidR="00C51224" w:rsidRPr="004744BE" w:rsidRDefault="004744BE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224" w:rsidRPr="004744BE" w:rsidTr="004744BE">
        <w:tc>
          <w:tcPr>
            <w:tcW w:w="442" w:type="dxa"/>
            <w:vAlign w:val="center"/>
          </w:tcPr>
          <w:p w:rsidR="00C51224" w:rsidRPr="004744BE" w:rsidRDefault="00C51224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61032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Кювета для лабораторного аналізатора ІВД, одноразового використання</w:t>
            </w:r>
          </w:p>
        </w:tc>
        <w:tc>
          <w:tcPr>
            <w:tcW w:w="1927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Кювети для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</w:p>
        </w:tc>
        <w:tc>
          <w:tcPr>
            <w:tcW w:w="153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 1000 штук в упаковці.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Повинні бути придатними для використання з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коагулометрами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виробника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Diagon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серія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Coag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809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" w:type="dxa"/>
            <w:vAlign w:val="center"/>
          </w:tcPr>
          <w:p w:rsidR="00C51224" w:rsidRPr="004744BE" w:rsidRDefault="004744BE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C51224" w:rsidRPr="004744BE" w:rsidTr="004744BE">
        <w:tc>
          <w:tcPr>
            <w:tcW w:w="442" w:type="dxa"/>
            <w:vAlign w:val="center"/>
          </w:tcPr>
          <w:p w:rsidR="00C51224" w:rsidRPr="004744BE" w:rsidRDefault="00C51224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63377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Засіб очищення приладу/аналізатора ІВД</w:t>
            </w:r>
          </w:p>
        </w:tc>
        <w:tc>
          <w:tcPr>
            <w:tcW w:w="1927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bCs/>
                <w:sz w:val="20"/>
                <w:szCs w:val="20"/>
              </w:rPr>
              <w:t>Очищуючий</w:t>
            </w:r>
            <w:proofErr w:type="spellEnd"/>
            <w:r w:rsidRPr="004744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розчин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 5 л.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Повинен являти собою стабілізований і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мікрофільтрований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розчин детергенту для регулярного автоматизованого очищення, ополіскування та промивки капілярів, трубок і камер гематологічного аналізатора, видалення компонентів осаду крові і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ліпопротеїнових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відкладень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на гематологічних аналізаторах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Diatron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Склад повинен відповідати: детергенти &lt; 1%, буфери &lt; 1%, консерванти &lt; 0,5%, стабілізатори &lt; 0,5%.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Загальний термін придатності - не менше 48 місяців.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Термін придатності після відкриття контейнера - не менше 120 днів.</w:t>
            </w:r>
          </w:p>
        </w:tc>
        <w:tc>
          <w:tcPr>
            <w:tcW w:w="809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525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224" w:rsidRPr="004744BE" w:rsidTr="004744BE">
        <w:tc>
          <w:tcPr>
            <w:tcW w:w="442" w:type="dxa"/>
            <w:vAlign w:val="center"/>
          </w:tcPr>
          <w:p w:rsidR="00C51224" w:rsidRPr="004744BE" w:rsidRDefault="00C51224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61165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Реагент для лізису клітин крові ІВД</w:t>
            </w:r>
          </w:p>
        </w:tc>
        <w:tc>
          <w:tcPr>
            <w:tcW w:w="1927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bCs/>
                <w:sz w:val="20"/>
                <w:szCs w:val="20"/>
              </w:rPr>
              <w:t>Лізуючий</w:t>
            </w:r>
            <w:proofErr w:type="spellEnd"/>
            <w:r w:rsidRPr="004744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реагент з апаратним ключем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 1 л.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Повинен являти собою стабілізований і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мікрофільтрований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лізуючий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для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стромолізу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еритроцитів (RBC), кількісного визначення лейкоцитів (WBC), 3-складової диференціації лейкоцитів (LYM, MID, GRAN) і визначення концентрації гемоглобіну (HGB) в зразках крові людини на гематологічних аналізаторах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Diatron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Склад повинен відповідати: ПАР &lt; 3,5%, буфери &lt; 1%, консерванти &lt; 0,5%, стабілізатори &lt; 0,5%.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Загальний термін придатності - не менше 48 місяців. Термін придатності після відкриття контейнера - не менше 120 днів.</w:t>
            </w:r>
          </w:p>
        </w:tc>
        <w:tc>
          <w:tcPr>
            <w:tcW w:w="809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525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224" w:rsidRPr="004744BE" w:rsidTr="004744BE">
        <w:tc>
          <w:tcPr>
            <w:tcW w:w="442" w:type="dxa"/>
            <w:vAlign w:val="center"/>
          </w:tcPr>
          <w:p w:rsidR="00C51224" w:rsidRPr="004744BE" w:rsidRDefault="00C51224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46623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Розріджувач крові</w:t>
            </w:r>
          </w:p>
        </w:tc>
        <w:tc>
          <w:tcPr>
            <w:tcW w:w="1927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bCs/>
                <w:sz w:val="20"/>
                <w:szCs w:val="20"/>
              </w:rPr>
              <w:t>Ділюент</w:t>
            </w:r>
            <w:proofErr w:type="spellEnd"/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 20 л.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Повинен являти собою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буферизований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, стабілізований і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мікрофільтрований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електролітний розчин для автоматичного розведення зразків крові людини, якісного і кількісного визначення еритроцитів (RBC), лейкоцитів (WBC) і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субпопуляцій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лейкоцитів, тромбоцитів (PLT) і вимірювання концентрації гемоглобіну (HGB) на гематологічних аналізаторах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Diatron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. Склад повинен відповідати: хлорид натрію &lt; 1,5%, буфери &lt; 1%, консерванти &lt; 0,5%, стабілізатори &lt; 0,5%.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Загальний термін придатності - не менше 36 місяців. Термін придатності після відкриття контейнера - не менше 120 днів.</w:t>
            </w:r>
          </w:p>
        </w:tc>
        <w:tc>
          <w:tcPr>
            <w:tcW w:w="809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525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224" w:rsidRPr="004744BE" w:rsidTr="004744BE">
        <w:tc>
          <w:tcPr>
            <w:tcW w:w="442" w:type="dxa"/>
            <w:vAlign w:val="center"/>
          </w:tcPr>
          <w:p w:rsidR="00C51224" w:rsidRPr="004744BE" w:rsidRDefault="00C51224" w:rsidP="00474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55866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Підрахунок клітин крові IVD, контрольний матеріал</w:t>
            </w:r>
          </w:p>
        </w:tc>
        <w:tc>
          <w:tcPr>
            <w:tcW w:w="1927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гематологічний   норма</w:t>
            </w:r>
          </w:p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C51224" w:rsidRPr="004744BE" w:rsidRDefault="00C51224" w:rsidP="004744B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C51224" w:rsidRPr="004744BE" w:rsidRDefault="00C51224" w:rsidP="004744B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Фасування: 6х3 мл</w:t>
            </w:r>
            <w:r w:rsidRPr="0047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51224" w:rsidRPr="004744BE" w:rsidRDefault="00C51224" w:rsidP="004744B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Контроль, призначений для моніторингу значень на автоматичних та напівавтоматичних гематологічних аналізаторах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імпедансного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типу. Він також може бути використаний для ручного методу. </w:t>
            </w:r>
            <w:r w:rsidRPr="00474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 xml:space="preserve"> діагностичний реагент, що складається з еритроцитів людини, змодельованих лейкоцитів і тромбоцитів ссавців, затриманих у плазмо-подібній рідині з консервантами.</w:t>
            </w:r>
          </w:p>
          <w:p w:rsidR="00C51224" w:rsidRPr="004744BE" w:rsidRDefault="00C51224" w:rsidP="004744B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Відкриті пробірки повинні бути стабільні протягом не менш як 14 днів</w:t>
            </w:r>
            <w:r w:rsidRPr="0047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09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525" w:type="dxa"/>
            <w:vAlign w:val="center"/>
          </w:tcPr>
          <w:p w:rsidR="00C51224" w:rsidRPr="004744BE" w:rsidRDefault="00C51224" w:rsidP="0047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A48F0" w:rsidRPr="006A519F" w:rsidRDefault="00BA48F0">
      <w:pPr>
        <w:rPr>
          <w:rFonts w:ascii="Times New Roman" w:hAnsi="Times New Roman" w:cs="Times New Roman"/>
        </w:rPr>
      </w:pPr>
    </w:p>
    <w:sectPr w:rsidR="00BA48F0" w:rsidRPr="006A5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BD2"/>
    <w:multiLevelType w:val="hybridMultilevel"/>
    <w:tmpl w:val="4C34F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84"/>
    <w:rsid w:val="00333684"/>
    <w:rsid w:val="003618B7"/>
    <w:rsid w:val="004744BE"/>
    <w:rsid w:val="006064A2"/>
    <w:rsid w:val="006A519F"/>
    <w:rsid w:val="00993710"/>
    <w:rsid w:val="00B1722E"/>
    <w:rsid w:val="00BA48F0"/>
    <w:rsid w:val="00C51224"/>
    <w:rsid w:val="00D34F00"/>
    <w:rsid w:val="00E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F637"/>
  <w15:chartTrackingRefBased/>
  <w15:docId w15:val="{D44F8DCE-8AB7-43B5-A6E7-FAB8341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710"/>
    <w:pPr>
      <w:ind w:left="720"/>
      <w:contextualSpacing/>
    </w:pPr>
  </w:style>
  <w:style w:type="paragraph" w:customStyle="1" w:styleId="Default">
    <w:name w:val="Default"/>
    <w:rsid w:val="00D34F0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10</cp:revision>
  <dcterms:created xsi:type="dcterms:W3CDTF">2023-02-15T08:20:00Z</dcterms:created>
  <dcterms:modified xsi:type="dcterms:W3CDTF">2023-02-15T08:53:00Z</dcterms:modified>
</cp:coreProperties>
</file>