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CA12" w14:textId="2DA6E613" w:rsidR="006A7730" w:rsidRPr="00DD4BA6" w:rsidRDefault="00DD4BA6" w:rsidP="00DD4BA6">
      <w:pPr>
        <w:jc w:val="center"/>
        <w:rPr>
          <w:rFonts w:ascii="Times New Roman" w:hAnsi="Times New Roman" w:cs="Times New Roman"/>
          <w:b/>
          <w:bCs/>
          <w:sz w:val="24"/>
          <w:szCs w:val="24"/>
        </w:rPr>
      </w:pPr>
      <w:r w:rsidRPr="00DD4BA6">
        <w:rPr>
          <w:rFonts w:ascii="Times New Roman" w:hAnsi="Times New Roman" w:cs="Times New Roman"/>
          <w:b/>
          <w:bCs/>
          <w:sz w:val="24"/>
          <w:szCs w:val="24"/>
        </w:rPr>
        <w:t>Перелік внесених змін до тендрної документації</w:t>
      </w:r>
    </w:p>
    <w:tbl>
      <w:tblPr>
        <w:tblW w:w="9980" w:type="dxa"/>
        <w:jc w:val="center"/>
        <w:tblLayout w:type="fixed"/>
        <w:tblLook w:val="0000" w:firstRow="0" w:lastRow="0" w:firstColumn="0" w:lastColumn="0" w:noHBand="0" w:noVBand="0"/>
      </w:tblPr>
      <w:tblGrid>
        <w:gridCol w:w="2805"/>
        <w:gridCol w:w="7113"/>
        <w:gridCol w:w="62"/>
      </w:tblGrid>
      <w:tr w:rsidR="00DD4BA6" w14:paraId="07D9943F" w14:textId="77777777" w:rsidTr="001059F4">
        <w:trPr>
          <w:trHeight w:val="512"/>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0EC648" w14:textId="77777777" w:rsidR="00DD4BA6" w:rsidRDefault="00DD4BA6" w:rsidP="001059F4">
            <w:pPr>
              <w:widowControl w:val="0"/>
              <w:spacing w:after="0" w:line="240" w:lineRule="auto"/>
              <w:jc w:val="center"/>
            </w:pPr>
            <w:r>
              <w:rPr>
                <w:rFonts w:ascii="Times New Roman" w:eastAsia="Times New Roman" w:hAnsi="Times New Roman" w:cs="Times New Roman"/>
                <w:b/>
                <w:color w:val="000000"/>
                <w:sz w:val="24"/>
                <w:szCs w:val="24"/>
              </w:rPr>
              <w:t>Розділ 5. Оцінка тендерної пропозиції</w:t>
            </w:r>
          </w:p>
        </w:tc>
      </w:tr>
      <w:tr w:rsidR="00DD4BA6" w:rsidRPr="006F7770" w14:paraId="04455308" w14:textId="77777777" w:rsidTr="001059F4">
        <w:trPr>
          <w:gridAfter w:val="1"/>
          <w:wAfter w:w="62" w:type="dxa"/>
          <w:trHeight w:val="1119"/>
          <w:jc w:val="center"/>
        </w:trPr>
        <w:tc>
          <w:tcPr>
            <w:tcW w:w="2805" w:type="dxa"/>
            <w:tcBorders>
              <w:top w:val="single" w:sz="4" w:space="0" w:color="000000"/>
              <w:left w:val="single" w:sz="4" w:space="0" w:color="000000"/>
              <w:bottom w:val="single" w:sz="4" w:space="0" w:color="000000"/>
            </w:tcBorders>
            <w:shd w:val="clear" w:color="auto" w:fill="auto"/>
          </w:tcPr>
          <w:p w14:paraId="4118F16E" w14:textId="77777777" w:rsidR="00DD4BA6" w:rsidRPr="006F7770" w:rsidRDefault="00DD4BA6" w:rsidP="001059F4">
            <w:pPr>
              <w:widowControl w:val="0"/>
              <w:spacing w:after="0" w:line="240" w:lineRule="auto"/>
            </w:pPr>
            <w:r w:rsidRPr="006F77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2D9CE" w14:textId="77777777" w:rsidR="00DD4BA6" w:rsidRPr="006F7770" w:rsidRDefault="00DD4BA6" w:rsidP="001059F4">
            <w:pPr>
              <w:spacing w:after="200" w:line="276" w:lineRule="auto"/>
              <w:jc w:val="both"/>
            </w:pPr>
            <w:r w:rsidRPr="006F7770">
              <w:rPr>
                <w:rFonts w:ascii="Times New Roman" w:hAnsi="Times New Roman" w:cs="Times New Roman"/>
                <w:sz w:val="24"/>
                <w:szCs w:val="24"/>
              </w:rPr>
              <w:t>Ціною пропозиції є ціна електричної енергії, що включає ціну активної електричної енергії,  передачу електроенергії, маржу учасника, витрати на сплату податків. Розрахунок ціни відповідно до абзацу першого частини третьої статті 22 Закону «Про публічні закупівлі» (зі змінами, далі – Закон), за яку учасник згоден виконати замовлення, повинен здійснюватися наступним чином:</w:t>
            </w:r>
          </w:p>
          <w:p w14:paraId="239AB3AA" w14:textId="77777777" w:rsidR="00DD4BA6" w:rsidRPr="006F7770" w:rsidRDefault="00DD4BA6" w:rsidP="001059F4">
            <w:pPr>
              <w:spacing w:after="200" w:line="276" w:lineRule="auto"/>
              <w:jc w:val="both"/>
            </w:pPr>
            <w:r w:rsidRPr="006F7770">
              <w:rPr>
                <w:rFonts w:ascii="Times New Roman" w:eastAsia="Times New Roman" w:hAnsi="Times New Roman" w:cs="Times New Roman"/>
                <w:sz w:val="24"/>
                <w:szCs w:val="24"/>
              </w:rPr>
              <w:t xml:space="preserve"> </w:t>
            </w:r>
            <w:r w:rsidRPr="006F7770">
              <w:rPr>
                <w:rFonts w:ascii="Times New Roman" w:hAnsi="Times New Roman" w:cs="Times New Roman"/>
                <w:b/>
                <w:sz w:val="24"/>
                <w:szCs w:val="24"/>
              </w:rPr>
              <w:t>Р = ∑ (Ni план * Ц прогн.рдн. * (1+М/100) + Ni план * Тпер.)* 1,2, грн, з ПДВ</w:t>
            </w:r>
            <w:r w:rsidRPr="006F7770">
              <w:rPr>
                <w:rFonts w:ascii="Times New Roman" w:hAnsi="Times New Roman" w:cs="Times New Roman"/>
                <w:sz w:val="24"/>
                <w:szCs w:val="24"/>
              </w:rPr>
              <w:t>, де:</w:t>
            </w:r>
          </w:p>
          <w:p w14:paraId="00EB561B" w14:textId="77777777" w:rsidR="00DD4BA6" w:rsidRPr="006F7770" w:rsidRDefault="00DD4BA6" w:rsidP="001059F4">
            <w:pPr>
              <w:spacing w:after="200" w:line="276" w:lineRule="auto"/>
              <w:jc w:val="both"/>
            </w:pPr>
            <w:r w:rsidRPr="006F7770">
              <w:rPr>
                <w:rFonts w:ascii="Times New Roman" w:hAnsi="Times New Roman" w:cs="Times New Roman"/>
                <w:b/>
                <w:sz w:val="24"/>
                <w:szCs w:val="24"/>
              </w:rPr>
              <w:t>Р</w:t>
            </w:r>
            <w:r w:rsidRPr="006F7770">
              <w:rPr>
                <w:rFonts w:ascii="Times New Roman" w:hAnsi="Times New Roman" w:cs="Times New Roman"/>
                <w:sz w:val="24"/>
                <w:szCs w:val="24"/>
              </w:rPr>
              <w:t xml:space="preserve"> – ціна тендерної пропозиції у гривні (UAH), з ПДВ </w:t>
            </w:r>
          </w:p>
          <w:p w14:paraId="5F52F903" w14:textId="77777777" w:rsidR="00DD4BA6" w:rsidRPr="006F7770" w:rsidRDefault="00DD4BA6" w:rsidP="001059F4">
            <w:pPr>
              <w:spacing w:after="200" w:line="276" w:lineRule="auto"/>
              <w:jc w:val="both"/>
            </w:pPr>
            <w:r w:rsidRPr="006F7770">
              <w:rPr>
                <w:rFonts w:ascii="Times New Roman" w:hAnsi="Times New Roman" w:cs="Times New Roman"/>
                <w:b/>
                <w:sz w:val="24"/>
                <w:szCs w:val="24"/>
              </w:rPr>
              <w:t>Ni план</w:t>
            </w:r>
            <w:r w:rsidRPr="006F7770">
              <w:rPr>
                <w:rFonts w:ascii="Times New Roman" w:hAnsi="Times New Roman" w:cs="Times New Roman"/>
                <w:sz w:val="24"/>
                <w:szCs w:val="24"/>
              </w:rPr>
              <w:t xml:space="preserve"> – плановий обсяг закупівлі електричної енергії для відповідного об’єкта Замовника </w:t>
            </w:r>
            <w:r w:rsidRPr="006F7770">
              <w:rPr>
                <w:rFonts w:ascii="Times New Roman" w:hAnsi="Times New Roman" w:cs="Times New Roman"/>
                <w:b/>
                <w:sz w:val="24"/>
                <w:szCs w:val="24"/>
              </w:rPr>
              <w:t>262800,00  кВт*год.</w:t>
            </w:r>
          </w:p>
          <w:p w14:paraId="0D27D291" w14:textId="3093E9C0" w:rsidR="00DD4BA6" w:rsidRPr="006F7770" w:rsidRDefault="00DD4BA6" w:rsidP="001059F4">
            <w:pPr>
              <w:spacing w:after="200" w:line="276" w:lineRule="auto"/>
              <w:jc w:val="both"/>
            </w:pPr>
            <w:r w:rsidRPr="006F7770">
              <w:rPr>
                <w:rFonts w:ascii="Times New Roman" w:hAnsi="Times New Roman" w:cs="Times New Roman"/>
                <w:b/>
                <w:sz w:val="24"/>
                <w:szCs w:val="24"/>
              </w:rPr>
              <w:t>Ц прогн.рдн.</w:t>
            </w:r>
            <w:r w:rsidRPr="006F7770">
              <w:rPr>
                <w:rFonts w:ascii="Times New Roman" w:hAnsi="Times New Roman" w:cs="Times New Roman"/>
                <w:sz w:val="24"/>
                <w:szCs w:val="24"/>
              </w:rPr>
              <w:t xml:space="preserve"> – прогнозована ціна РДН, яка для даної закупівлі </w:t>
            </w:r>
            <w:r w:rsidRPr="006F7770">
              <w:rPr>
                <w:rFonts w:ascii="Times New Roman" w:hAnsi="Times New Roman" w:cs="Times New Roman"/>
                <w:b/>
                <w:sz w:val="24"/>
                <w:szCs w:val="24"/>
              </w:rPr>
              <w:t xml:space="preserve">становить </w:t>
            </w:r>
            <w:r w:rsidRPr="006F7770">
              <w:rPr>
                <w:rFonts w:ascii="Times New Roman" w:hAnsi="Times New Roman" w:cs="Times New Roman"/>
                <w:b/>
                <w:sz w:val="24"/>
                <w:szCs w:val="24"/>
                <w:shd w:val="clear" w:color="auto" w:fill="FFFF00"/>
              </w:rPr>
              <w:t>– 4,66284</w:t>
            </w:r>
            <w:r w:rsidR="00C253C9">
              <w:rPr>
                <w:rFonts w:ascii="Times New Roman" w:hAnsi="Times New Roman" w:cs="Times New Roman"/>
                <w:b/>
                <w:sz w:val="24"/>
                <w:szCs w:val="24"/>
                <w:shd w:val="clear" w:color="auto" w:fill="FFFF00"/>
              </w:rPr>
              <w:t>9</w:t>
            </w:r>
            <w:r w:rsidRPr="006F7770">
              <w:rPr>
                <w:rFonts w:ascii="Times New Roman" w:hAnsi="Times New Roman" w:cs="Times New Roman"/>
                <w:b/>
                <w:sz w:val="24"/>
                <w:szCs w:val="24"/>
              </w:rPr>
              <w:t xml:space="preserve"> грн за 1 кВт*год</w:t>
            </w:r>
            <w:r w:rsidRPr="006F7770">
              <w:rPr>
                <w:rFonts w:ascii="Times New Roman" w:hAnsi="Times New Roman" w:cs="Times New Roman"/>
                <w:sz w:val="24"/>
                <w:szCs w:val="24"/>
              </w:rPr>
              <w:t xml:space="preserve"> (без ПДВ), визначена як середньозважена ціна на РДН (у торговій зоні Об'єднана Енергетична Система України (ОЕС України)) за листопад місяць 2023 року – 4,35780 за 1 кВт*год (без ПДВ) за даними ДП «Оператор ринку», розміщеними на його веб-сайті www.oree.com.ua , з врахуванням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в розмірі + </w:t>
            </w:r>
            <w:r w:rsidRPr="006F7770">
              <w:rPr>
                <w:rFonts w:ascii="Times New Roman" w:hAnsi="Times New Roman" w:cs="Times New Roman"/>
                <w:sz w:val="24"/>
                <w:szCs w:val="24"/>
                <w:shd w:val="clear" w:color="auto" w:fill="FFFF00"/>
              </w:rPr>
              <w:t>7%</w:t>
            </w:r>
            <w:r w:rsidRPr="006F7770">
              <w:rPr>
                <w:rFonts w:ascii="Times New Roman" w:hAnsi="Times New Roman" w:cs="Times New Roman"/>
                <w:sz w:val="24"/>
                <w:szCs w:val="24"/>
              </w:rPr>
              <w:t xml:space="preserve">). Коливання ціни має бути виключно позитивним. </w:t>
            </w:r>
          </w:p>
          <w:p w14:paraId="4BC5C7E3" w14:textId="77777777" w:rsidR="00DD4BA6" w:rsidRPr="006F7770" w:rsidRDefault="00DD4BA6" w:rsidP="001059F4">
            <w:pPr>
              <w:spacing w:after="200" w:line="276" w:lineRule="auto"/>
              <w:jc w:val="both"/>
            </w:pPr>
            <w:r w:rsidRPr="006F7770">
              <w:rPr>
                <w:rFonts w:ascii="Times New Roman" w:hAnsi="Times New Roman" w:cs="Times New Roman"/>
                <w:b/>
                <w:sz w:val="24"/>
                <w:szCs w:val="24"/>
              </w:rPr>
              <w:t>Т пер.</w:t>
            </w:r>
            <w:r w:rsidRPr="006F7770">
              <w:rPr>
                <w:rFonts w:ascii="Times New Roman" w:hAnsi="Times New Roman" w:cs="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№2322 – </w:t>
            </w:r>
            <w:r w:rsidRPr="006F7770">
              <w:rPr>
                <w:rFonts w:ascii="Times New Roman" w:hAnsi="Times New Roman" w:cs="Times New Roman"/>
                <w:b/>
                <w:sz w:val="24"/>
                <w:szCs w:val="24"/>
              </w:rPr>
              <w:t>0,52857 грн</w:t>
            </w:r>
            <w:r w:rsidRPr="006F7770">
              <w:rPr>
                <w:rFonts w:ascii="Times New Roman" w:hAnsi="Times New Roman" w:cs="Times New Roman"/>
                <w:sz w:val="24"/>
                <w:szCs w:val="24"/>
              </w:rPr>
              <w:t xml:space="preserve"> за 1 кВт*год (без ПДВ). </w:t>
            </w:r>
          </w:p>
          <w:p w14:paraId="7D9226AE" w14:textId="77777777" w:rsidR="00DD4BA6" w:rsidRPr="006F7770" w:rsidRDefault="00DD4BA6" w:rsidP="001059F4">
            <w:pPr>
              <w:spacing w:after="200" w:line="276" w:lineRule="auto"/>
              <w:jc w:val="both"/>
            </w:pPr>
            <w:r w:rsidRPr="006F7770">
              <w:rPr>
                <w:rFonts w:ascii="Times New Roman" w:hAnsi="Times New Roman" w:cs="Times New Roman"/>
                <w:b/>
                <w:sz w:val="24"/>
                <w:szCs w:val="24"/>
              </w:rPr>
              <w:t>1,2</w:t>
            </w:r>
            <w:r w:rsidRPr="006F7770">
              <w:rPr>
                <w:rFonts w:ascii="Times New Roman" w:hAnsi="Times New Roman" w:cs="Times New Roman"/>
                <w:sz w:val="24"/>
                <w:szCs w:val="24"/>
              </w:rPr>
              <w:t xml:space="preserve"> – математичне вираження ставки податку на додану вартість (ПДВ - 20 %). </w:t>
            </w:r>
          </w:p>
          <w:p w14:paraId="6AE2CB88" w14:textId="77777777" w:rsidR="00DD4BA6" w:rsidRPr="006F7770" w:rsidRDefault="00DD4BA6" w:rsidP="001059F4">
            <w:pPr>
              <w:spacing w:after="200" w:line="276" w:lineRule="auto"/>
              <w:jc w:val="both"/>
            </w:pPr>
            <w:r w:rsidRPr="006F7770">
              <w:rPr>
                <w:rFonts w:ascii="Times New Roman" w:hAnsi="Times New Roman" w:cs="Times New Roman"/>
                <w:b/>
                <w:sz w:val="24"/>
                <w:szCs w:val="24"/>
              </w:rPr>
              <w:t xml:space="preserve">М </w:t>
            </w:r>
            <w:r w:rsidRPr="006F7770">
              <w:rPr>
                <w:rFonts w:ascii="Times New Roman" w:hAnsi="Times New Roman" w:cs="Times New Roman"/>
                <w:sz w:val="24"/>
                <w:szCs w:val="24"/>
              </w:rPr>
              <w:t xml:space="preserve">– маржа (вартість послуг учасника), запропонована учасником у відсотках від загальної ціни тендерної пропозиції (Р), %. </w:t>
            </w:r>
          </w:p>
          <w:p w14:paraId="19A71705" w14:textId="77777777" w:rsidR="00DD4BA6" w:rsidRPr="006F7770" w:rsidRDefault="00DD4BA6" w:rsidP="001059F4">
            <w:pPr>
              <w:spacing w:after="200" w:line="276" w:lineRule="auto"/>
              <w:jc w:val="both"/>
            </w:pPr>
            <w:r w:rsidRPr="006F7770">
              <w:rPr>
                <w:rFonts w:ascii="Times New Roman" w:hAnsi="Times New Roman" w:cs="Times New Roman"/>
                <w:b/>
                <w:sz w:val="24"/>
                <w:szCs w:val="24"/>
              </w:rPr>
              <w:t>Маржа не може бути величиною від’ємною</w:t>
            </w:r>
            <w:r w:rsidRPr="006F7770">
              <w:rPr>
                <w:rFonts w:ascii="Times New Roman" w:hAnsi="Times New Roman" w:cs="Times New Roman"/>
                <w:sz w:val="24"/>
                <w:szCs w:val="24"/>
              </w:rPr>
              <w:t xml:space="preserve">. Маржа, що визначається учасником у ціні своєї тендерної пропозиції (в тому числі у ціні за результатами аукціону), не може бути величиною від’ємною. Під час проведення аукціону учасник понижує ціну тільки за рахунок зменшення М – маржа (вартість послуг учасника). Примітка. </w:t>
            </w:r>
            <w:r w:rsidRPr="006F7770">
              <w:rPr>
                <w:rFonts w:ascii="Times New Roman" w:hAnsi="Times New Roman" w:cs="Times New Roman"/>
                <w:b/>
                <w:sz w:val="24"/>
                <w:szCs w:val="24"/>
              </w:rPr>
              <w:t>Маржа не може бути величиною від’ємною.</w:t>
            </w:r>
            <w:r w:rsidRPr="006F7770">
              <w:rPr>
                <w:rFonts w:ascii="Times New Roman" w:hAnsi="Times New Roman" w:cs="Times New Roman"/>
                <w:sz w:val="24"/>
                <w:szCs w:val="24"/>
              </w:rPr>
              <w:t xml:space="preserve"> </w:t>
            </w:r>
          </w:p>
          <w:p w14:paraId="3A2AE2F9" w14:textId="77777777" w:rsidR="00DD4BA6" w:rsidRPr="006F7770" w:rsidRDefault="00DD4BA6" w:rsidP="001059F4">
            <w:pPr>
              <w:spacing w:after="200" w:line="276" w:lineRule="auto"/>
              <w:jc w:val="both"/>
            </w:pPr>
            <w:r w:rsidRPr="006F7770">
              <w:rPr>
                <w:rFonts w:ascii="Times New Roman" w:hAnsi="Times New Roman" w:cs="Times New Roman"/>
                <w:sz w:val="24"/>
                <w:szCs w:val="24"/>
                <w:u w:val="single"/>
              </w:rPr>
              <w:t xml:space="preserve">З метою запобігання демпінгу та недобросовісної конкуренції (що відповідає приписам, у тому числі, статті 5 Закону) серед учасників, </w:t>
            </w:r>
            <w:r w:rsidRPr="006F7770">
              <w:rPr>
                <w:rFonts w:ascii="Times New Roman" w:hAnsi="Times New Roman" w:cs="Times New Roman"/>
                <w:sz w:val="24"/>
                <w:szCs w:val="24"/>
                <w:u w:val="single"/>
              </w:rPr>
              <w:lastRenderedPageBreak/>
              <w:t>замовник відхиляє пропозиції учасників, в яких величина маржі від’ємна.</w:t>
            </w:r>
          </w:p>
          <w:p w14:paraId="1A52413A" w14:textId="77777777" w:rsidR="00DD4BA6" w:rsidRPr="006F7770" w:rsidRDefault="00DD4BA6" w:rsidP="001059F4">
            <w:pPr>
              <w:widowControl w:val="0"/>
              <w:spacing w:after="0" w:line="240" w:lineRule="auto"/>
              <w:jc w:val="both"/>
              <w:rPr>
                <w:rFonts w:ascii="Times New Roman" w:eastAsia="Times New Roman" w:hAnsi="Times New Roman" w:cs="Times New Roman"/>
                <w:b/>
                <w:sz w:val="24"/>
                <w:szCs w:val="24"/>
                <w:highlight w:val="white"/>
                <w:u w:val="single"/>
              </w:rPr>
            </w:pPr>
          </w:p>
          <w:p w14:paraId="609D0E95" w14:textId="77777777" w:rsidR="00DD4BA6" w:rsidRPr="006F7770" w:rsidRDefault="00DD4BA6" w:rsidP="001059F4">
            <w:pPr>
              <w:widowControl w:val="0"/>
              <w:spacing w:after="0" w:line="240" w:lineRule="auto"/>
              <w:jc w:val="both"/>
            </w:pPr>
          </w:p>
        </w:tc>
      </w:tr>
    </w:tbl>
    <w:p w14:paraId="08BF4622" w14:textId="77777777" w:rsidR="00DD4BA6" w:rsidRPr="00DD4BA6" w:rsidRDefault="00DD4BA6" w:rsidP="00DD4BA6">
      <w:pPr>
        <w:jc w:val="center"/>
        <w:rPr>
          <w:rFonts w:ascii="Times New Roman" w:hAnsi="Times New Roman" w:cs="Times New Roman"/>
          <w:sz w:val="24"/>
          <w:szCs w:val="24"/>
        </w:rPr>
      </w:pPr>
    </w:p>
    <w:sectPr w:rsidR="00DD4BA6" w:rsidRPr="00DD4BA6" w:rsidSect="00DD4BA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30"/>
    <w:rsid w:val="00191A75"/>
    <w:rsid w:val="006A7730"/>
    <w:rsid w:val="00823E78"/>
    <w:rsid w:val="00C253C9"/>
    <w:rsid w:val="00DD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580C"/>
  <w15:chartTrackingRefBased/>
  <w15:docId w15:val="{1D4588AC-5B56-4EB3-BE04-FEFF1CB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78"/>
    <w:pPr>
      <w:suppressAutoHyphens/>
      <w:spacing w:line="254" w:lineRule="auto"/>
    </w:pPr>
    <w:rPr>
      <w:rFonts w:ascii="Calibri" w:eastAsia="Calibri" w:hAnsi="Calibri" w:cs="Calibri"/>
      <w:kern w:val="0"/>
      <w:lang w:val="uk-UA"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3E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МОИ КОТЫ !!!</cp:lastModifiedBy>
  <cp:revision>5</cp:revision>
  <dcterms:created xsi:type="dcterms:W3CDTF">2023-12-25T14:39:00Z</dcterms:created>
  <dcterms:modified xsi:type="dcterms:W3CDTF">2023-12-25T16:27:00Z</dcterms:modified>
</cp:coreProperties>
</file>