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F0" w:rsidRPr="00522BD9" w:rsidRDefault="00192EF0" w:rsidP="00192EF0">
      <w:pPr>
        <w:pStyle w:val="20"/>
        <w:keepNext/>
        <w:keepLines/>
        <w:spacing w:before="0" w:after="0" w:line="240" w:lineRule="auto"/>
        <w:ind w:firstLine="284"/>
        <w:jc w:val="right"/>
        <w:rPr>
          <w:rFonts w:ascii="Times New Roman" w:hAnsi="Times New Roman" w:cs="Times New Roman"/>
          <w:b/>
          <w:bCs/>
          <w:sz w:val="24"/>
          <w:szCs w:val="24"/>
          <w:lang w:eastAsia="uk-UA"/>
        </w:rPr>
      </w:pPr>
      <w:r w:rsidRPr="00522BD9">
        <w:rPr>
          <w:rFonts w:ascii="Times New Roman" w:hAnsi="Times New Roman" w:cs="Times New Roman"/>
          <w:b/>
          <w:bCs/>
          <w:sz w:val="24"/>
          <w:szCs w:val="24"/>
          <w:lang w:eastAsia="uk-UA"/>
        </w:rPr>
        <w:t>ДОДАТОК № 6</w:t>
      </w:r>
    </w:p>
    <w:p w:rsidR="00192EF0" w:rsidRPr="00522BD9" w:rsidRDefault="00192EF0" w:rsidP="00192EF0">
      <w:pPr>
        <w:pStyle w:val="20"/>
        <w:keepNext/>
        <w:keepLines/>
        <w:spacing w:before="0" w:after="0" w:line="240" w:lineRule="auto"/>
        <w:ind w:firstLine="284"/>
        <w:jc w:val="right"/>
        <w:rPr>
          <w:rFonts w:ascii="Times New Roman" w:hAnsi="Times New Roman" w:cs="Times New Roman"/>
          <w:b/>
          <w:bCs/>
          <w:sz w:val="24"/>
          <w:szCs w:val="24"/>
          <w:lang w:eastAsia="uk-UA"/>
        </w:rPr>
      </w:pPr>
      <w:r w:rsidRPr="00522BD9">
        <w:rPr>
          <w:rFonts w:ascii="Times New Roman" w:hAnsi="Times New Roman" w:cs="Times New Roman"/>
          <w:b/>
          <w:bCs/>
          <w:sz w:val="24"/>
          <w:szCs w:val="24"/>
          <w:lang w:eastAsia="uk-UA"/>
        </w:rPr>
        <w:t>до тендерної документації</w:t>
      </w:r>
    </w:p>
    <w:p w:rsidR="00192EF0" w:rsidRPr="00522BD9" w:rsidRDefault="00192EF0" w:rsidP="00192EF0">
      <w:pPr>
        <w:ind w:firstLine="284"/>
        <w:jc w:val="both"/>
        <w:rPr>
          <w:sz w:val="22"/>
          <w:szCs w:val="22"/>
          <w:lang w:val="uk-UA"/>
        </w:rPr>
      </w:pPr>
    </w:p>
    <w:p w:rsidR="00192EF0" w:rsidRPr="00522BD9" w:rsidRDefault="00192EF0" w:rsidP="00192EF0">
      <w:pPr>
        <w:ind w:firstLine="284"/>
        <w:jc w:val="both"/>
        <w:rPr>
          <w:sz w:val="22"/>
          <w:szCs w:val="22"/>
          <w:lang w:val="uk-UA"/>
        </w:rPr>
      </w:pPr>
    </w:p>
    <w:p w:rsidR="00F416EB" w:rsidRPr="00522BD9" w:rsidRDefault="00F416EB" w:rsidP="00F416EB">
      <w:pPr>
        <w:ind w:firstLine="284"/>
        <w:jc w:val="center"/>
        <w:rPr>
          <w:b/>
          <w:bCs/>
          <w:lang w:val="uk-UA"/>
        </w:rPr>
      </w:pPr>
      <w:r w:rsidRPr="00522BD9">
        <w:rPr>
          <w:b/>
          <w:bCs/>
          <w:lang w:val="uk-UA"/>
        </w:rPr>
        <w:t xml:space="preserve">КВАЛІФІКАЦІЙНІ КРИТЕРІЇ </w:t>
      </w:r>
    </w:p>
    <w:p w:rsidR="00F416EB" w:rsidRPr="00522BD9" w:rsidRDefault="00F416EB" w:rsidP="00F416EB">
      <w:pPr>
        <w:ind w:firstLine="284"/>
        <w:jc w:val="center"/>
        <w:rPr>
          <w:b/>
          <w:bCs/>
          <w:lang w:val="uk-UA"/>
        </w:rPr>
      </w:pPr>
      <w:r w:rsidRPr="00522BD9">
        <w:rPr>
          <w:b/>
          <w:bCs/>
          <w:lang w:val="uk-UA"/>
        </w:rPr>
        <w:t xml:space="preserve">відповідно до статті 16 Закону та інформація про спосіб підтвердження </w:t>
      </w:r>
    </w:p>
    <w:p w:rsidR="00F416EB" w:rsidRPr="00522BD9" w:rsidRDefault="00F416EB" w:rsidP="00F416EB">
      <w:pPr>
        <w:ind w:firstLine="284"/>
        <w:jc w:val="center"/>
        <w:rPr>
          <w:lang w:val="uk-UA"/>
        </w:rPr>
      </w:pPr>
      <w:r w:rsidRPr="00522BD9">
        <w:rPr>
          <w:b/>
          <w:bCs/>
          <w:lang w:val="uk-UA"/>
        </w:rPr>
        <w:t>відповідності учасників установленим кваліфікаційним критеріям і вимогам</w:t>
      </w:r>
    </w:p>
    <w:p w:rsidR="00F416EB" w:rsidRPr="00522BD9" w:rsidRDefault="00F416EB" w:rsidP="00F416EB">
      <w:pPr>
        <w:ind w:firstLine="284"/>
        <w:jc w:val="both"/>
        <w:rPr>
          <w:lang w:val="uk-UA"/>
        </w:rPr>
      </w:pPr>
    </w:p>
    <w:p w:rsidR="00650B42" w:rsidRPr="00522BD9" w:rsidRDefault="009C388D" w:rsidP="009C388D">
      <w:pPr>
        <w:shd w:val="clear" w:color="auto" w:fill="FFFFFF" w:themeFill="background1"/>
        <w:ind w:firstLine="425"/>
        <w:jc w:val="center"/>
        <w:rPr>
          <w:i/>
          <w:lang w:val="uk-UA"/>
        </w:rPr>
      </w:pPr>
      <w:r w:rsidRPr="00522BD9">
        <w:rPr>
          <w:b/>
          <w:i/>
          <w:lang w:val="uk-UA"/>
        </w:rPr>
        <w:t xml:space="preserve">Інформація та документи, що підтверджують відповідність учасника кваліфікаційним критеріям </w:t>
      </w:r>
    </w:p>
    <w:p w:rsidR="009C388D" w:rsidRPr="00522BD9" w:rsidRDefault="009C388D" w:rsidP="009C388D">
      <w:pPr>
        <w:widowControl w:val="0"/>
        <w:tabs>
          <w:tab w:val="left" w:pos="0"/>
          <w:tab w:val="left" w:pos="284"/>
          <w:tab w:val="left" w:pos="851"/>
        </w:tabs>
        <w:suppressAutoHyphens/>
        <w:ind w:left="-11"/>
        <w:jc w:val="both"/>
        <w:rPr>
          <w:lang w:val="uk-UA"/>
        </w:rPr>
      </w:pPr>
      <w:r w:rsidRPr="00522BD9">
        <w:rPr>
          <w:color w:val="000000"/>
          <w:lang w:val="uk-UA" w:eastAsia="uk-UA"/>
        </w:rPr>
        <w:tab/>
      </w:r>
    </w:p>
    <w:p w:rsidR="002F31A0" w:rsidRPr="00522BD9" w:rsidRDefault="002F31A0" w:rsidP="002F31A0">
      <w:pPr>
        <w:pStyle w:val="a5"/>
        <w:widowControl w:val="0"/>
        <w:numPr>
          <w:ilvl w:val="0"/>
          <w:numId w:val="1"/>
        </w:numPr>
        <w:tabs>
          <w:tab w:val="left" w:pos="0"/>
          <w:tab w:val="left" w:pos="284"/>
          <w:tab w:val="left" w:pos="851"/>
        </w:tabs>
        <w:suppressAutoHyphens/>
        <w:spacing w:after="0" w:line="240" w:lineRule="auto"/>
        <w:jc w:val="both"/>
        <w:rPr>
          <w:rFonts w:ascii="Times New Roman" w:hAnsi="Times New Roman"/>
          <w:sz w:val="24"/>
          <w:szCs w:val="24"/>
        </w:rPr>
      </w:pPr>
      <w:r w:rsidRPr="00522BD9">
        <w:rPr>
          <w:rFonts w:ascii="Times New Roman" w:hAnsi="Times New Roman"/>
          <w:color w:val="000000"/>
          <w:sz w:val="24"/>
          <w:szCs w:val="24"/>
          <w:lang w:eastAsia="uk-UA"/>
        </w:rPr>
        <w:t>Мати ліцензію на виконання робіт;</w:t>
      </w:r>
    </w:p>
    <w:p w:rsidR="002F31A0" w:rsidRPr="00522BD9" w:rsidRDefault="002F31A0" w:rsidP="002F31A0">
      <w:pPr>
        <w:pStyle w:val="a5"/>
        <w:widowControl w:val="0"/>
        <w:numPr>
          <w:ilvl w:val="0"/>
          <w:numId w:val="1"/>
        </w:numPr>
        <w:tabs>
          <w:tab w:val="left" w:pos="0"/>
          <w:tab w:val="left" w:pos="284"/>
          <w:tab w:val="left" w:pos="851"/>
        </w:tabs>
        <w:suppressAutoHyphens/>
        <w:spacing w:after="0" w:line="240" w:lineRule="auto"/>
        <w:jc w:val="both"/>
        <w:rPr>
          <w:rFonts w:ascii="Times New Roman" w:hAnsi="Times New Roman"/>
          <w:sz w:val="24"/>
          <w:szCs w:val="24"/>
        </w:rPr>
      </w:pPr>
      <w:r w:rsidRPr="00522BD9">
        <w:rPr>
          <w:rFonts w:ascii="Times New Roman" w:hAnsi="Times New Roman"/>
          <w:color w:val="000000"/>
          <w:sz w:val="24"/>
          <w:szCs w:val="24"/>
          <w:lang w:eastAsia="uk-UA"/>
        </w:rPr>
        <w:t>Мати фінансові ресурси, необхідні для успішного виконання робіт;</w:t>
      </w:r>
    </w:p>
    <w:p w:rsidR="002F31A0" w:rsidRPr="00522BD9" w:rsidRDefault="002F31A0" w:rsidP="002F31A0">
      <w:pPr>
        <w:pStyle w:val="a5"/>
        <w:widowControl w:val="0"/>
        <w:numPr>
          <w:ilvl w:val="0"/>
          <w:numId w:val="1"/>
        </w:numPr>
        <w:tabs>
          <w:tab w:val="left" w:pos="0"/>
          <w:tab w:val="left" w:pos="284"/>
          <w:tab w:val="left" w:pos="851"/>
        </w:tabs>
        <w:suppressAutoHyphens/>
        <w:spacing w:after="0" w:line="240" w:lineRule="auto"/>
        <w:jc w:val="both"/>
        <w:rPr>
          <w:rFonts w:ascii="Times New Roman" w:hAnsi="Times New Roman"/>
          <w:sz w:val="24"/>
          <w:szCs w:val="24"/>
        </w:rPr>
      </w:pPr>
      <w:r w:rsidRPr="00522BD9">
        <w:rPr>
          <w:rFonts w:ascii="Times New Roman" w:hAnsi="Times New Roman"/>
          <w:color w:val="000000"/>
          <w:sz w:val="24"/>
          <w:szCs w:val="24"/>
          <w:lang w:eastAsia="uk-UA"/>
        </w:rPr>
        <w:t>Мати необхідне обладнання для виконання робіт:</w:t>
      </w:r>
    </w:p>
    <w:p w:rsidR="002F31A0" w:rsidRPr="00522BD9" w:rsidRDefault="002F31A0" w:rsidP="002F31A0">
      <w:pPr>
        <w:pStyle w:val="a5"/>
        <w:widowControl w:val="0"/>
        <w:numPr>
          <w:ilvl w:val="0"/>
          <w:numId w:val="1"/>
        </w:numPr>
        <w:tabs>
          <w:tab w:val="left" w:pos="0"/>
          <w:tab w:val="left" w:pos="284"/>
          <w:tab w:val="left" w:pos="851"/>
        </w:tabs>
        <w:suppressAutoHyphens/>
        <w:spacing w:after="0" w:line="240" w:lineRule="auto"/>
        <w:jc w:val="both"/>
        <w:rPr>
          <w:rFonts w:ascii="Times New Roman" w:hAnsi="Times New Roman"/>
          <w:sz w:val="24"/>
          <w:szCs w:val="24"/>
        </w:rPr>
      </w:pPr>
      <w:r w:rsidRPr="00522BD9">
        <w:rPr>
          <w:rFonts w:ascii="Times New Roman" w:hAnsi="Times New Roman"/>
          <w:color w:val="000000"/>
          <w:sz w:val="24"/>
          <w:szCs w:val="24"/>
          <w:lang w:eastAsia="uk-UA"/>
        </w:rPr>
        <w:t>Мати необхідний штат працівників відповідних професій та досвіду для виконання робіт;</w:t>
      </w:r>
    </w:p>
    <w:p w:rsidR="009C388D" w:rsidRPr="00522BD9" w:rsidRDefault="009C388D" w:rsidP="009C388D">
      <w:pPr>
        <w:shd w:val="clear" w:color="auto" w:fill="FFFFFF"/>
        <w:jc w:val="both"/>
        <w:rPr>
          <w:bCs/>
          <w:lang w:val="uk-UA"/>
        </w:rPr>
      </w:pPr>
    </w:p>
    <w:p w:rsidR="009C388D" w:rsidRPr="00522BD9" w:rsidRDefault="009C388D" w:rsidP="009C388D">
      <w:pPr>
        <w:pStyle w:val="a5"/>
        <w:shd w:val="clear" w:color="auto" w:fill="FFFFFF" w:themeFill="background1"/>
        <w:ind w:left="0" w:firstLine="567"/>
        <w:rPr>
          <w:rFonts w:ascii="Times New Roman" w:hAnsi="Times New Roman"/>
          <w:b/>
          <w:i/>
          <w:sz w:val="24"/>
          <w:szCs w:val="24"/>
        </w:rPr>
      </w:pPr>
      <w:r w:rsidRPr="00522BD9">
        <w:rPr>
          <w:rFonts w:ascii="Times New Roman" w:hAnsi="Times New Roman"/>
          <w:b/>
          <w:i/>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E96015" w:rsidRPr="00522BD9" w:rsidRDefault="00E96015" w:rsidP="00E96015">
      <w:pPr>
        <w:numPr>
          <w:ilvl w:val="0"/>
          <w:numId w:val="2"/>
        </w:numPr>
        <w:spacing w:after="200" w:line="276" w:lineRule="auto"/>
        <w:contextualSpacing/>
        <w:jc w:val="both"/>
        <w:rPr>
          <w:b/>
          <w:bCs/>
          <w:i/>
          <w:iCs/>
          <w:sz w:val="22"/>
          <w:szCs w:val="22"/>
          <w:lang w:val="uk-UA" w:eastAsia="en-US"/>
        </w:rPr>
      </w:pPr>
      <w:r w:rsidRPr="00522BD9">
        <w:rPr>
          <w:b/>
          <w:bCs/>
          <w:i/>
          <w:iCs/>
          <w:sz w:val="22"/>
          <w:szCs w:val="22"/>
          <w:lang w:val="uk-UA" w:eastAsia="en-US"/>
        </w:rPr>
        <w:t xml:space="preserve">Наявність документально підтвердженого досвіду виконання аналогічного (аналогічних) за предметом закупівлі договору (договорів): </w:t>
      </w:r>
    </w:p>
    <w:p w:rsidR="00943776" w:rsidRPr="00522BD9" w:rsidRDefault="00943776" w:rsidP="00943776">
      <w:pPr>
        <w:pStyle w:val="a5"/>
        <w:shd w:val="clear" w:color="auto" w:fill="FFFFFF"/>
        <w:ind w:left="872"/>
        <w:jc w:val="both"/>
        <w:rPr>
          <w:rFonts w:ascii="Times New Roman" w:hAnsi="Times New Roman"/>
          <w:bCs/>
          <w:sz w:val="24"/>
          <w:szCs w:val="24"/>
        </w:rPr>
      </w:pPr>
      <w:r w:rsidRPr="00522BD9">
        <w:rPr>
          <w:rFonts w:ascii="Times New Roman" w:hAnsi="Times New Roman"/>
          <w:bCs/>
          <w:sz w:val="24"/>
          <w:szCs w:val="24"/>
        </w:rPr>
        <w:t xml:space="preserve">Довідка у довільній формі на фірмовому бланку*, у якій має бути наведена інформація про досвід виконання підприємством аналогічного договору з обов’язковим назначеним (№ договору, назви предмету договору, терміну виконання договору; назви, коду ЄДРПОУ, поштової адреси, телефонів Замовника, стан виконання договору). </w:t>
      </w:r>
    </w:p>
    <w:p w:rsidR="00943776" w:rsidRPr="00522BD9" w:rsidRDefault="00943776" w:rsidP="00943776">
      <w:pPr>
        <w:pStyle w:val="a5"/>
        <w:shd w:val="clear" w:color="auto" w:fill="FFFFFF"/>
        <w:ind w:left="872"/>
        <w:jc w:val="both"/>
        <w:rPr>
          <w:rFonts w:ascii="Times New Roman" w:hAnsi="Times New Roman"/>
          <w:bCs/>
          <w:sz w:val="24"/>
          <w:szCs w:val="24"/>
        </w:rPr>
      </w:pPr>
      <w:r w:rsidRPr="00522BD9">
        <w:rPr>
          <w:rFonts w:ascii="Times New Roman" w:hAnsi="Times New Roman"/>
          <w:bCs/>
          <w:sz w:val="24"/>
          <w:szCs w:val="24"/>
        </w:rPr>
        <w:t>На підтвердження виконання аналогічного договору надається:</w:t>
      </w:r>
    </w:p>
    <w:p w:rsidR="00943776" w:rsidRPr="00522BD9" w:rsidRDefault="00943776" w:rsidP="00943776">
      <w:pPr>
        <w:pStyle w:val="a5"/>
        <w:shd w:val="clear" w:color="auto" w:fill="FFFFFF"/>
        <w:ind w:left="872"/>
        <w:jc w:val="both"/>
        <w:rPr>
          <w:rFonts w:ascii="Times New Roman" w:hAnsi="Times New Roman"/>
          <w:bCs/>
          <w:sz w:val="24"/>
          <w:szCs w:val="24"/>
        </w:rPr>
      </w:pPr>
      <w:r w:rsidRPr="00522BD9">
        <w:rPr>
          <w:rFonts w:ascii="Times New Roman" w:hAnsi="Times New Roman"/>
          <w:bCs/>
          <w:sz w:val="24"/>
          <w:szCs w:val="24"/>
        </w:rPr>
        <w:t xml:space="preserve">- копія повністю виконаного аналогічного договору. </w:t>
      </w:r>
    </w:p>
    <w:p w:rsidR="00943776" w:rsidRPr="00522BD9" w:rsidRDefault="00943776" w:rsidP="00943776">
      <w:pPr>
        <w:pStyle w:val="a5"/>
        <w:shd w:val="clear" w:color="auto" w:fill="FFFFFF"/>
        <w:ind w:left="872"/>
        <w:jc w:val="both"/>
        <w:rPr>
          <w:rFonts w:ascii="Times New Roman" w:hAnsi="Times New Roman"/>
          <w:bCs/>
          <w:sz w:val="24"/>
          <w:szCs w:val="24"/>
        </w:rPr>
      </w:pPr>
      <w:r w:rsidRPr="00522BD9">
        <w:rPr>
          <w:rFonts w:ascii="Times New Roman" w:hAnsi="Times New Roman"/>
          <w:bCs/>
          <w:sz w:val="24"/>
          <w:szCs w:val="24"/>
        </w:rPr>
        <w:t xml:space="preserve">Аналогічний договір має бути наданий від підприємства, установи, організації, щодо яких надавалась інформація у довідці про досвід виконання аналогічних договорів. </w:t>
      </w:r>
    </w:p>
    <w:p w:rsidR="00943776" w:rsidRPr="00522BD9" w:rsidRDefault="00943776" w:rsidP="00943776">
      <w:pPr>
        <w:pStyle w:val="a5"/>
        <w:shd w:val="clear" w:color="auto" w:fill="FFFFFF"/>
        <w:ind w:left="872"/>
        <w:jc w:val="both"/>
        <w:rPr>
          <w:rFonts w:ascii="Times New Roman" w:hAnsi="Times New Roman"/>
          <w:bCs/>
          <w:sz w:val="24"/>
          <w:szCs w:val="24"/>
        </w:rPr>
      </w:pPr>
      <w:r w:rsidRPr="00522BD9">
        <w:rPr>
          <w:rFonts w:ascii="Times New Roman" w:hAnsi="Times New Roman"/>
          <w:bCs/>
          <w:sz w:val="24"/>
          <w:szCs w:val="24"/>
        </w:rPr>
        <w:t xml:space="preserve">Разом із аналогічним договором на підтвердження його виконання учасники зобов’язані надати акти виконаних робіт та/або акти приймання-передачі виконаних робіт (на суму виконаних зобов’язань) з підписами обох сторін, що підтверджують достовірність виконання аналогічного договору, зазначеного у довідці. В тому числі, надаються додаткові угоди до зазначених договору, що засвідчують зміну істотних умов зобов’язань. </w:t>
      </w:r>
    </w:p>
    <w:p w:rsidR="00943776" w:rsidRPr="00522BD9" w:rsidRDefault="00943776" w:rsidP="00943776">
      <w:pPr>
        <w:pStyle w:val="a5"/>
        <w:shd w:val="clear" w:color="auto" w:fill="FFFFFF"/>
        <w:ind w:left="872"/>
        <w:jc w:val="both"/>
        <w:rPr>
          <w:rFonts w:ascii="Times New Roman" w:hAnsi="Times New Roman"/>
          <w:bCs/>
          <w:sz w:val="24"/>
          <w:szCs w:val="24"/>
        </w:rPr>
      </w:pPr>
      <w:r w:rsidRPr="00522BD9">
        <w:rPr>
          <w:rFonts w:ascii="Times New Roman" w:hAnsi="Times New Roman"/>
          <w:bCs/>
          <w:sz w:val="24"/>
          <w:szCs w:val="24"/>
        </w:rPr>
        <w:t xml:space="preserve">Примітка: під аналогічним договором розуміється повністю виконаний (завершений) договір, договір на проведення робіт з капітального ремонту/реконструкції/будівництво будівель або споруд, який укладений не раніше 2018 року. </w:t>
      </w:r>
    </w:p>
    <w:p w:rsidR="00943776" w:rsidRPr="00522BD9" w:rsidRDefault="00943776" w:rsidP="00943776">
      <w:pPr>
        <w:pStyle w:val="a5"/>
        <w:shd w:val="clear" w:color="auto" w:fill="FFFFFF"/>
        <w:ind w:left="872"/>
        <w:jc w:val="both"/>
        <w:rPr>
          <w:rFonts w:ascii="Times New Roman" w:hAnsi="Times New Roman"/>
          <w:bCs/>
          <w:sz w:val="24"/>
          <w:szCs w:val="24"/>
        </w:rPr>
      </w:pPr>
      <w:r w:rsidRPr="00522BD9">
        <w:rPr>
          <w:rFonts w:ascii="Times New Roman" w:hAnsi="Times New Roman"/>
          <w:bCs/>
          <w:sz w:val="24"/>
          <w:szCs w:val="24"/>
        </w:rPr>
        <w:t>Аналогічний договір – договір, який повністю відповідає наступним вимогам:</w:t>
      </w:r>
    </w:p>
    <w:p w:rsidR="00943776" w:rsidRPr="00522BD9" w:rsidRDefault="00943776" w:rsidP="00943776">
      <w:pPr>
        <w:pStyle w:val="a5"/>
        <w:shd w:val="clear" w:color="auto" w:fill="FFFFFF"/>
        <w:ind w:left="872"/>
        <w:jc w:val="both"/>
        <w:rPr>
          <w:rFonts w:ascii="Times New Roman" w:hAnsi="Times New Roman"/>
          <w:bCs/>
          <w:sz w:val="24"/>
          <w:szCs w:val="24"/>
        </w:rPr>
      </w:pPr>
      <w:r w:rsidRPr="00522BD9">
        <w:rPr>
          <w:rFonts w:ascii="Times New Roman" w:hAnsi="Times New Roman"/>
          <w:bCs/>
          <w:sz w:val="24"/>
          <w:szCs w:val="24"/>
        </w:rPr>
        <w:t>- укладений між сторонами, предметом закупівлі якого є предмет закупівлі даних торгів;</w:t>
      </w:r>
    </w:p>
    <w:p w:rsidR="00943776" w:rsidRPr="00522BD9" w:rsidRDefault="00943776" w:rsidP="00943776">
      <w:pPr>
        <w:pStyle w:val="a5"/>
        <w:shd w:val="clear" w:color="auto" w:fill="FFFFFF"/>
        <w:ind w:left="872"/>
        <w:jc w:val="both"/>
        <w:rPr>
          <w:rFonts w:ascii="Times New Roman" w:hAnsi="Times New Roman"/>
          <w:bCs/>
          <w:sz w:val="24"/>
          <w:szCs w:val="24"/>
        </w:rPr>
      </w:pPr>
      <w:r w:rsidRPr="00522BD9">
        <w:rPr>
          <w:rFonts w:ascii="Times New Roman" w:hAnsi="Times New Roman"/>
          <w:bCs/>
          <w:sz w:val="24"/>
          <w:szCs w:val="24"/>
        </w:rPr>
        <w:t>- сторонами визначена ціна договору;</w:t>
      </w:r>
    </w:p>
    <w:p w:rsidR="00943776" w:rsidRPr="00522BD9" w:rsidRDefault="00943776" w:rsidP="00943776">
      <w:pPr>
        <w:pStyle w:val="a5"/>
        <w:shd w:val="clear" w:color="auto" w:fill="FFFFFF"/>
        <w:ind w:left="872"/>
        <w:jc w:val="both"/>
        <w:rPr>
          <w:rFonts w:ascii="Times New Roman" w:hAnsi="Times New Roman"/>
          <w:bCs/>
          <w:sz w:val="24"/>
          <w:szCs w:val="24"/>
        </w:rPr>
      </w:pPr>
      <w:r w:rsidRPr="00522BD9">
        <w:rPr>
          <w:rFonts w:ascii="Times New Roman" w:hAnsi="Times New Roman"/>
          <w:bCs/>
          <w:sz w:val="24"/>
          <w:szCs w:val="24"/>
        </w:rPr>
        <w:t>- сторонами встановлений строк дії договору;</w:t>
      </w:r>
    </w:p>
    <w:p w:rsidR="00E96015" w:rsidRPr="00522BD9" w:rsidRDefault="00E96015" w:rsidP="00E96015">
      <w:pPr>
        <w:shd w:val="clear" w:color="auto" w:fill="FFFFFF"/>
        <w:ind w:firstLine="708"/>
        <w:jc w:val="both"/>
        <w:rPr>
          <w:b/>
          <w:bCs/>
          <w:i/>
          <w:sz w:val="22"/>
          <w:szCs w:val="22"/>
          <w:u w:val="single"/>
          <w:lang w:val="uk-UA"/>
        </w:rPr>
      </w:pPr>
      <w:r w:rsidRPr="00522BD9">
        <w:rPr>
          <w:b/>
          <w:bCs/>
          <w:i/>
          <w:sz w:val="22"/>
          <w:szCs w:val="22"/>
          <w:u w:val="single"/>
          <w:lang w:val="uk-UA"/>
        </w:rPr>
        <w:t>При наданні документів, Учасник може не показувати відомості, які можуть становити комерційну таємницю.</w:t>
      </w:r>
    </w:p>
    <w:p w:rsidR="00E96015" w:rsidRPr="00522BD9" w:rsidRDefault="00E96015" w:rsidP="00E96015">
      <w:pPr>
        <w:shd w:val="clear" w:color="auto" w:fill="FFFFFF"/>
        <w:ind w:firstLine="708"/>
        <w:jc w:val="both"/>
        <w:rPr>
          <w:b/>
          <w:bCs/>
          <w:i/>
          <w:sz w:val="22"/>
          <w:szCs w:val="22"/>
          <w:u w:val="single"/>
          <w:lang w:val="uk-UA"/>
        </w:rPr>
      </w:pPr>
      <w:r w:rsidRPr="00522BD9">
        <w:rPr>
          <w:b/>
          <w:bCs/>
          <w:i/>
          <w:sz w:val="22"/>
          <w:szCs w:val="22"/>
          <w:u w:val="single"/>
          <w:lang w:val="uk-UA"/>
        </w:rPr>
        <w:t>* при наявності такого бланку.</w:t>
      </w:r>
    </w:p>
    <w:p w:rsidR="00E96015" w:rsidRPr="00522BD9" w:rsidRDefault="00E96015" w:rsidP="00E96015">
      <w:pPr>
        <w:pStyle w:val="a5"/>
        <w:shd w:val="clear" w:color="auto" w:fill="FFFFFF"/>
        <w:ind w:left="0"/>
        <w:jc w:val="both"/>
        <w:rPr>
          <w:rFonts w:ascii="Times New Roman" w:hAnsi="Times New Roman"/>
          <w:b/>
          <w:bCs/>
          <w:i/>
          <w:sz w:val="24"/>
          <w:szCs w:val="24"/>
          <w:u w:val="single"/>
        </w:rPr>
      </w:pPr>
    </w:p>
    <w:p w:rsidR="00144389" w:rsidRPr="00522BD9" w:rsidRDefault="00144389" w:rsidP="00144389">
      <w:pPr>
        <w:jc w:val="both"/>
        <w:rPr>
          <w:b/>
          <w:bCs/>
          <w:i/>
          <w:iCs/>
          <w:lang w:val="uk-UA"/>
        </w:rPr>
      </w:pPr>
    </w:p>
    <w:p w:rsidR="00356708" w:rsidRPr="00522BD9" w:rsidRDefault="00356708" w:rsidP="00A44639">
      <w:pPr>
        <w:pStyle w:val="a5"/>
        <w:shd w:val="clear" w:color="auto" w:fill="FFFFFF"/>
        <w:spacing w:after="0"/>
        <w:ind w:left="872"/>
        <w:jc w:val="right"/>
        <w:rPr>
          <w:rFonts w:ascii="Times New Roman" w:hAnsi="Times New Roman"/>
          <w:b/>
          <w:bCs/>
          <w:i/>
          <w:sz w:val="24"/>
          <w:szCs w:val="24"/>
        </w:rPr>
      </w:pPr>
    </w:p>
    <w:p w:rsidR="00E96015" w:rsidRPr="00522BD9" w:rsidRDefault="00E96015" w:rsidP="00A44639">
      <w:pPr>
        <w:pStyle w:val="a5"/>
        <w:shd w:val="clear" w:color="auto" w:fill="FFFFFF"/>
        <w:spacing w:after="0"/>
        <w:ind w:left="872"/>
        <w:jc w:val="right"/>
        <w:rPr>
          <w:rFonts w:ascii="Times New Roman" w:hAnsi="Times New Roman"/>
          <w:b/>
          <w:bCs/>
          <w:i/>
          <w:sz w:val="24"/>
          <w:szCs w:val="24"/>
        </w:rPr>
      </w:pPr>
    </w:p>
    <w:p w:rsidR="00A44639" w:rsidRPr="00522BD9" w:rsidRDefault="00A44639" w:rsidP="00A44639">
      <w:pPr>
        <w:pStyle w:val="a5"/>
        <w:shd w:val="clear" w:color="auto" w:fill="FFFFFF"/>
        <w:spacing w:after="0"/>
        <w:ind w:left="872"/>
        <w:jc w:val="right"/>
        <w:rPr>
          <w:rFonts w:ascii="Times New Roman" w:hAnsi="Times New Roman"/>
          <w:b/>
          <w:bCs/>
          <w:i/>
          <w:sz w:val="24"/>
          <w:szCs w:val="24"/>
        </w:rPr>
      </w:pPr>
      <w:r w:rsidRPr="00522BD9">
        <w:rPr>
          <w:rFonts w:ascii="Times New Roman" w:hAnsi="Times New Roman"/>
          <w:b/>
          <w:bCs/>
          <w:i/>
          <w:sz w:val="24"/>
          <w:szCs w:val="24"/>
        </w:rPr>
        <w:lastRenderedPageBreak/>
        <w:t>Таблиця 1</w:t>
      </w:r>
    </w:p>
    <w:tbl>
      <w:tblPr>
        <w:tblW w:w="0" w:type="auto"/>
        <w:tblInd w:w="152" w:type="dxa"/>
        <w:shd w:val="clear" w:color="auto" w:fill="FFFFFF" w:themeFill="background1"/>
        <w:tblLook w:val="04A0"/>
      </w:tblPr>
      <w:tblGrid>
        <w:gridCol w:w="494"/>
        <w:gridCol w:w="2025"/>
        <w:gridCol w:w="7543"/>
      </w:tblGrid>
      <w:tr w:rsidR="009C388D" w:rsidRPr="00522BD9" w:rsidTr="00943776">
        <w:trPr>
          <w:trHeight w:val="117"/>
        </w:trPr>
        <w:tc>
          <w:tcPr>
            <w:tcW w:w="4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75" w:type="dxa"/>
              <w:left w:w="75" w:type="dxa"/>
              <w:bottom w:w="75" w:type="dxa"/>
              <w:right w:w="75" w:type="dxa"/>
            </w:tcMar>
            <w:vAlign w:val="center"/>
            <w:hideMark/>
          </w:tcPr>
          <w:p w:rsidR="009C388D" w:rsidRPr="00522BD9" w:rsidRDefault="009C388D" w:rsidP="00AB3DDF">
            <w:pPr>
              <w:jc w:val="center"/>
              <w:rPr>
                <w:b/>
                <w:lang w:val="uk-UA"/>
              </w:rPr>
            </w:pPr>
            <w:r w:rsidRPr="00522BD9">
              <w:rPr>
                <w:b/>
                <w:bCs/>
                <w:color w:val="000000"/>
                <w:lang w:val="uk-UA"/>
              </w:rPr>
              <w:t>№</w:t>
            </w:r>
          </w:p>
          <w:p w:rsidR="009C388D" w:rsidRPr="00522BD9" w:rsidRDefault="009C388D" w:rsidP="00AB3DDF">
            <w:pPr>
              <w:jc w:val="center"/>
              <w:rPr>
                <w:b/>
                <w:lang w:val="uk-UA"/>
              </w:rPr>
            </w:pPr>
            <w:r w:rsidRPr="00522BD9">
              <w:rPr>
                <w:b/>
                <w:bCs/>
                <w:color w:val="000000"/>
                <w:lang w:val="uk-UA"/>
              </w:rPr>
              <w:t>п/п</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75" w:type="dxa"/>
              <w:left w:w="75" w:type="dxa"/>
              <w:bottom w:w="75" w:type="dxa"/>
              <w:right w:w="75" w:type="dxa"/>
            </w:tcMar>
            <w:vAlign w:val="center"/>
            <w:hideMark/>
          </w:tcPr>
          <w:p w:rsidR="009C388D" w:rsidRPr="00522BD9" w:rsidRDefault="009C388D" w:rsidP="00AB3DDF">
            <w:pPr>
              <w:jc w:val="center"/>
              <w:rPr>
                <w:b/>
                <w:lang w:val="uk-UA"/>
              </w:rPr>
            </w:pPr>
            <w:r w:rsidRPr="00522BD9">
              <w:rPr>
                <w:b/>
                <w:bCs/>
                <w:color w:val="000000"/>
                <w:lang w:val="uk-UA"/>
              </w:rPr>
              <w:t>Кваліфікаційний критерій</w:t>
            </w:r>
          </w:p>
        </w:tc>
        <w:tc>
          <w:tcPr>
            <w:tcW w:w="79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75" w:type="dxa"/>
              <w:left w:w="75" w:type="dxa"/>
              <w:bottom w:w="75" w:type="dxa"/>
              <w:right w:w="75" w:type="dxa"/>
            </w:tcMar>
            <w:vAlign w:val="center"/>
            <w:hideMark/>
          </w:tcPr>
          <w:p w:rsidR="009C388D" w:rsidRPr="00522BD9" w:rsidRDefault="009C388D" w:rsidP="00AB3DDF">
            <w:pPr>
              <w:jc w:val="center"/>
              <w:rPr>
                <w:b/>
                <w:lang w:val="uk-UA"/>
              </w:rPr>
            </w:pPr>
            <w:r w:rsidRPr="00522BD9">
              <w:rPr>
                <w:b/>
                <w:bCs/>
                <w:color w:val="000000"/>
                <w:lang w:val="uk-UA"/>
              </w:rPr>
              <w:t>Перелік документів, що підтверджують інформацію про відповідність учасників таким критеріям</w:t>
            </w:r>
          </w:p>
        </w:tc>
      </w:tr>
      <w:tr w:rsidR="009C388D" w:rsidRPr="00903E4C" w:rsidTr="00943776">
        <w:trPr>
          <w:trHeight w:val="117"/>
        </w:trPr>
        <w:tc>
          <w:tcPr>
            <w:tcW w:w="4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75" w:type="dxa"/>
              <w:left w:w="75" w:type="dxa"/>
              <w:bottom w:w="75" w:type="dxa"/>
              <w:right w:w="75" w:type="dxa"/>
            </w:tcMar>
            <w:vAlign w:val="center"/>
            <w:hideMark/>
          </w:tcPr>
          <w:p w:rsidR="009C388D" w:rsidRPr="00522BD9" w:rsidRDefault="009C388D" w:rsidP="00AB3DDF">
            <w:pPr>
              <w:jc w:val="center"/>
              <w:rPr>
                <w:lang w:val="uk-UA"/>
              </w:rPr>
            </w:pPr>
            <w:r w:rsidRPr="00522BD9">
              <w:rPr>
                <w:bCs/>
                <w:color w:val="000000"/>
                <w:lang w:val="uk-UA"/>
              </w:rPr>
              <w:t>1</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75" w:type="dxa"/>
              <w:left w:w="75" w:type="dxa"/>
              <w:bottom w:w="75" w:type="dxa"/>
              <w:right w:w="75" w:type="dxa"/>
            </w:tcMar>
            <w:vAlign w:val="center"/>
            <w:hideMark/>
          </w:tcPr>
          <w:p w:rsidR="009C388D" w:rsidRPr="00522BD9" w:rsidRDefault="009C388D" w:rsidP="00AB3DDF">
            <w:pPr>
              <w:jc w:val="center"/>
              <w:rPr>
                <w:b/>
                <w:lang w:val="uk-UA"/>
              </w:rPr>
            </w:pPr>
            <w:r w:rsidRPr="00522BD9">
              <w:rPr>
                <w:b/>
                <w:shd w:val="clear" w:color="auto" w:fill="FFFFFF"/>
                <w:lang w:val="uk-UA"/>
              </w:rPr>
              <w:t>Наявність в учасника процедури закупівлі обладнання, матеріально-технічної бази та технологій</w:t>
            </w:r>
          </w:p>
        </w:tc>
        <w:tc>
          <w:tcPr>
            <w:tcW w:w="79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75" w:type="dxa"/>
              <w:left w:w="75" w:type="dxa"/>
              <w:bottom w:w="75" w:type="dxa"/>
              <w:right w:w="75" w:type="dxa"/>
            </w:tcMar>
            <w:vAlign w:val="center"/>
            <w:hideMark/>
          </w:tcPr>
          <w:p w:rsidR="009C388D" w:rsidRPr="00903E4C" w:rsidRDefault="00903E4C" w:rsidP="00903E4C">
            <w:pPr>
              <w:shd w:val="clear" w:color="auto" w:fill="C6D9F1" w:themeFill="text2" w:themeFillTint="33"/>
              <w:jc w:val="both"/>
              <w:rPr>
                <w:bCs/>
                <w:color w:val="000000" w:themeColor="text1"/>
                <w:lang w:val="uk-UA"/>
              </w:rPr>
            </w:pPr>
            <w:r w:rsidRPr="00903E4C">
              <w:rPr>
                <w:bCs/>
                <w:shd w:val="clear" w:color="auto" w:fill="FFFFFF" w:themeFill="background1"/>
                <w:lang w:val="uk-UA"/>
              </w:rPr>
              <w:t>1.1.1. Довідка у довільній формі, про наявність обладнання та матеріально-технічної бази та технологій, яка має підтвердити спроможність учасника здійснити виконання умов Договору з вказівкою на певний документ (</w:t>
            </w:r>
            <w:proofErr w:type="spellStart"/>
            <w:r w:rsidRPr="00903E4C">
              <w:rPr>
                <w:bCs/>
                <w:shd w:val="clear" w:color="auto" w:fill="FFFFFF" w:themeFill="background1"/>
                <w:lang w:val="uk-UA"/>
              </w:rPr>
              <w:t>скан</w:t>
            </w:r>
            <w:proofErr w:type="spellEnd"/>
            <w:r w:rsidRPr="00903E4C">
              <w:rPr>
                <w:bCs/>
                <w:shd w:val="clear" w:color="auto" w:fill="FFFFFF" w:themeFill="background1"/>
                <w:lang w:val="uk-UA"/>
              </w:rPr>
              <w:t xml:space="preserve"> копію), наданий Учасником в складі пропозиції про право власності та/або оренди та/або користування.</w:t>
            </w:r>
          </w:p>
        </w:tc>
      </w:tr>
      <w:tr w:rsidR="009C388D" w:rsidRPr="00903E4C" w:rsidTr="00943776">
        <w:trPr>
          <w:trHeight w:val="117"/>
        </w:trPr>
        <w:tc>
          <w:tcPr>
            <w:tcW w:w="4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75" w:type="dxa"/>
              <w:left w:w="75" w:type="dxa"/>
              <w:bottom w:w="75" w:type="dxa"/>
              <w:right w:w="75" w:type="dxa"/>
            </w:tcMar>
            <w:vAlign w:val="center"/>
          </w:tcPr>
          <w:p w:rsidR="009C388D" w:rsidRPr="00522BD9" w:rsidRDefault="009C388D" w:rsidP="00AB3DDF">
            <w:pPr>
              <w:jc w:val="center"/>
              <w:rPr>
                <w:bCs/>
                <w:color w:val="000000"/>
                <w:lang w:val="uk-UA"/>
              </w:rPr>
            </w:pPr>
            <w:r w:rsidRPr="00522BD9">
              <w:rPr>
                <w:bCs/>
                <w:color w:val="000000"/>
                <w:lang w:val="uk-UA"/>
              </w:rPr>
              <w:t>2</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75" w:type="dxa"/>
              <w:left w:w="75" w:type="dxa"/>
              <w:bottom w:w="75" w:type="dxa"/>
              <w:right w:w="75" w:type="dxa"/>
            </w:tcMar>
            <w:vAlign w:val="center"/>
          </w:tcPr>
          <w:p w:rsidR="009C388D" w:rsidRPr="00522BD9" w:rsidRDefault="009C388D" w:rsidP="00AB3DDF">
            <w:pPr>
              <w:jc w:val="center"/>
              <w:rPr>
                <w:b/>
                <w:bCs/>
                <w:color w:val="000000"/>
                <w:lang w:val="uk-UA"/>
              </w:rPr>
            </w:pPr>
            <w:r w:rsidRPr="00522BD9">
              <w:rPr>
                <w:b/>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p>
        </w:tc>
        <w:tc>
          <w:tcPr>
            <w:tcW w:w="79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75" w:type="dxa"/>
              <w:left w:w="75" w:type="dxa"/>
              <w:bottom w:w="75" w:type="dxa"/>
              <w:right w:w="75" w:type="dxa"/>
            </w:tcMar>
            <w:vAlign w:val="center"/>
          </w:tcPr>
          <w:p w:rsidR="00943776" w:rsidRPr="0072062A" w:rsidRDefault="00B42C31" w:rsidP="00943776">
            <w:pPr>
              <w:shd w:val="clear" w:color="auto" w:fill="FFFFFF"/>
              <w:jc w:val="both"/>
              <w:rPr>
                <w:bCs/>
                <w:lang w:val="uk-UA"/>
              </w:rPr>
            </w:pPr>
            <w:r w:rsidRPr="00522BD9">
              <w:rPr>
                <w:bCs/>
                <w:lang w:val="uk-UA"/>
              </w:rPr>
              <w:t>2.2.1.</w:t>
            </w:r>
            <w:r w:rsidR="002F31A0" w:rsidRPr="00522BD9">
              <w:rPr>
                <w:bCs/>
                <w:lang w:val="uk-UA"/>
              </w:rPr>
              <w:t xml:space="preserve"> </w:t>
            </w:r>
            <w:r w:rsidR="00943776" w:rsidRPr="00522BD9">
              <w:rPr>
                <w:bCs/>
                <w:lang w:val="uk-UA"/>
              </w:rPr>
              <w:t xml:space="preserve">Довідка у довільній формі про наявність працівників відповідної кваліфікації, які мають необхідні знання та досвід, та які будуть залучені до виконання робіт, які є предметом закупівлі, обов’язкова наявність головного інженеру проекту (ГІП) - інженер, який має кваліфікаційний сертифікат інженера-проектувальника з інженерно-будівельного проектування (надати </w:t>
            </w:r>
            <w:proofErr w:type="spellStart"/>
            <w:r w:rsidR="00943776" w:rsidRPr="00522BD9">
              <w:rPr>
                <w:bCs/>
                <w:lang w:val="uk-UA"/>
              </w:rPr>
              <w:t>скан</w:t>
            </w:r>
            <w:proofErr w:type="spellEnd"/>
            <w:r w:rsidR="00943776" w:rsidRPr="00522BD9">
              <w:rPr>
                <w:bCs/>
                <w:lang w:val="uk-UA"/>
              </w:rPr>
              <w:t xml:space="preserve"> копію сертифікату), головного інженера з вищою освітою у галузі будівництва (надати копію диплому) </w:t>
            </w:r>
            <w:r w:rsidR="00522BD9" w:rsidRPr="0072062A">
              <w:rPr>
                <w:bCs/>
                <w:lang w:val="uk-UA"/>
              </w:rPr>
              <w:t xml:space="preserve">або </w:t>
            </w:r>
            <w:r w:rsidR="00943776" w:rsidRPr="0072062A">
              <w:rPr>
                <w:bCs/>
                <w:lang w:val="uk-UA"/>
              </w:rPr>
              <w:t>виконроба, та працівників робочих професій.</w:t>
            </w:r>
          </w:p>
          <w:p w:rsidR="00943776" w:rsidRPr="00522BD9" w:rsidRDefault="00943776" w:rsidP="00943776">
            <w:pPr>
              <w:shd w:val="clear" w:color="auto" w:fill="FFFFFF"/>
              <w:jc w:val="both"/>
              <w:rPr>
                <w:bCs/>
                <w:lang w:val="uk-UA"/>
              </w:rPr>
            </w:pPr>
            <w:r w:rsidRPr="0072062A">
              <w:rPr>
                <w:bCs/>
                <w:lang w:val="uk-UA"/>
              </w:rPr>
              <w:t>2.2.2. Копії документів, що підтверджують працевлаштування працівників, які будуть залучені до виконання будівельних робіт (капітального ремонту): копія наказу про прийняття на роботу та/або копія трудової книжки та/або копія трудового договору та/або копія ЦПУ.</w:t>
            </w:r>
          </w:p>
          <w:p w:rsidR="00943776" w:rsidRPr="00522BD9" w:rsidRDefault="00943776" w:rsidP="00943776">
            <w:pPr>
              <w:shd w:val="clear" w:color="auto" w:fill="FFFFFF"/>
              <w:jc w:val="both"/>
              <w:rPr>
                <w:bCs/>
                <w:lang w:val="uk-UA"/>
              </w:rPr>
            </w:pPr>
            <w:r w:rsidRPr="00522BD9">
              <w:rPr>
                <w:bCs/>
                <w:lang w:val="uk-UA"/>
              </w:rPr>
              <w:t xml:space="preserve">*У разі надання на працівників наказів про призначення, надати </w:t>
            </w:r>
            <w:proofErr w:type="spellStart"/>
            <w:r w:rsidRPr="00522BD9">
              <w:rPr>
                <w:bCs/>
                <w:lang w:val="uk-UA"/>
              </w:rPr>
              <w:t>скан-копію</w:t>
            </w:r>
            <w:proofErr w:type="spellEnd"/>
            <w:r w:rsidRPr="00522BD9">
              <w:rPr>
                <w:bCs/>
                <w:lang w:val="uk-UA"/>
              </w:rPr>
              <w:t xml:space="preserve"> повідомлення про прийняття працівника на роботу відповідно за формою, згідно з додатком до Порядку № 413 «Про порядок повідомлення Державній податковій службі та її територіальним органам про прийняття працівника на роботу.</w:t>
            </w:r>
          </w:p>
          <w:p w:rsidR="00943776" w:rsidRPr="00522BD9" w:rsidRDefault="00943776" w:rsidP="00943776">
            <w:pPr>
              <w:shd w:val="clear" w:color="auto" w:fill="FFFFFF"/>
              <w:jc w:val="both"/>
              <w:rPr>
                <w:bCs/>
                <w:lang w:val="uk-UA"/>
              </w:rPr>
            </w:pPr>
            <w:r w:rsidRPr="00522BD9">
              <w:rPr>
                <w:bCs/>
                <w:lang w:val="uk-UA"/>
              </w:rPr>
              <w:t>2.2.3. На всіх працівників зазначених в довідці надати медичні книжки форми 1-ОМК затверджених Наказом МОЗ України № 150, в яких міститься відповідний запис підтверджуючий вчасне проходження медичного огляду.</w:t>
            </w:r>
          </w:p>
          <w:p w:rsidR="00943776" w:rsidRPr="0072062A" w:rsidRDefault="00943776" w:rsidP="00943776">
            <w:pPr>
              <w:shd w:val="clear" w:color="auto" w:fill="FFFFFF"/>
              <w:jc w:val="both"/>
              <w:rPr>
                <w:bCs/>
                <w:lang w:val="uk-UA"/>
              </w:rPr>
            </w:pPr>
            <w:r w:rsidRPr="00522BD9">
              <w:rPr>
                <w:bCs/>
                <w:lang w:val="uk-UA"/>
              </w:rPr>
              <w:t xml:space="preserve">2.2.4. Копії документів про проходження ІТП та працівниками робітничих професій навчання з </w:t>
            </w:r>
            <w:r w:rsidRPr="0072062A">
              <w:rPr>
                <w:bCs/>
                <w:lang w:val="uk-UA"/>
              </w:rPr>
              <w:t>охорони праці (протоколу (</w:t>
            </w:r>
            <w:proofErr w:type="spellStart"/>
            <w:r w:rsidRPr="0072062A">
              <w:rPr>
                <w:bCs/>
                <w:lang w:val="uk-UA"/>
              </w:rPr>
              <w:t>-ів</w:t>
            </w:r>
            <w:proofErr w:type="spellEnd"/>
            <w:r w:rsidRPr="0072062A">
              <w:rPr>
                <w:bCs/>
                <w:lang w:val="uk-UA"/>
              </w:rPr>
              <w:t>) чи витяги з протоколу) (за наявності).</w:t>
            </w:r>
            <w:r w:rsidR="00522BD9" w:rsidRPr="0072062A">
              <w:rPr>
                <w:bCs/>
                <w:lang w:val="uk-UA"/>
              </w:rPr>
              <w:t xml:space="preserve"> Обов’язкова наявність в учасника серед його інженерно-технічних працівників сертифікованого фахівця будівельної галузі за напрямком – інженер з охорони праці (будівництво) з кваліфікаційним рівнем не нижче базового, який має сертифікат відповідно стандарту  СОУ-С-001:2016 «Процедура сертифікації фахівців будівельної галузі»</w:t>
            </w:r>
            <w:r w:rsidR="003A6A9F" w:rsidRPr="0072062A">
              <w:rPr>
                <w:bCs/>
                <w:lang w:val="uk-UA"/>
              </w:rPr>
              <w:t>.</w:t>
            </w:r>
            <w:r w:rsidR="00522BD9" w:rsidRPr="0072062A">
              <w:rPr>
                <w:bCs/>
                <w:lang w:val="uk-UA"/>
              </w:rPr>
              <w:t xml:space="preserve"> </w:t>
            </w:r>
            <w:r w:rsidR="003A6A9F" w:rsidRPr="0072062A">
              <w:rPr>
                <w:bCs/>
                <w:lang w:val="uk-UA"/>
              </w:rPr>
              <w:t>На підтвердження відповідності тендерної пропозиції цій вимозі учасник має надати скановані копії або оригінали чинних на дату подання тендерної пропозиції сертифікату та кваліфікаційного посвідчення, виданих відповідним органом із сертифікації фахівців будівельної галузі.</w:t>
            </w:r>
          </w:p>
          <w:p w:rsidR="00943776" w:rsidRPr="00522BD9" w:rsidRDefault="00943776" w:rsidP="00943776">
            <w:pPr>
              <w:shd w:val="clear" w:color="auto" w:fill="FFFFFF"/>
              <w:jc w:val="both"/>
              <w:rPr>
                <w:bCs/>
                <w:lang w:val="uk-UA"/>
              </w:rPr>
            </w:pPr>
            <w:r w:rsidRPr="0072062A">
              <w:rPr>
                <w:bCs/>
                <w:lang w:val="uk-UA"/>
              </w:rPr>
              <w:t>2.2.5. Наявність на підприємстві відповідальної особи за пожежну</w:t>
            </w:r>
            <w:r w:rsidRPr="00522BD9">
              <w:rPr>
                <w:bCs/>
                <w:lang w:val="uk-UA"/>
              </w:rPr>
              <w:t xml:space="preserve"> безпеку (наказ про призначення, посвідчення, витяг з протоколу-за наявності).</w:t>
            </w:r>
          </w:p>
          <w:p w:rsidR="00943776" w:rsidRPr="00522BD9" w:rsidRDefault="00270CDC" w:rsidP="00943776">
            <w:pPr>
              <w:shd w:val="clear" w:color="auto" w:fill="FFFFFF"/>
              <w:jc w:val="both"/>
              <w:rPr>
                <w:bCs/>
                <w:lang w:val="uk-UA"/>
              </w:rPr>
            </w:pPr>
            <w:r w:rsidRPr="00522BD9">
              <w:rPr>
                <w:bCs/>
                <w:lang w:val="uk-UA"/>
              </w:rPr>
              <w:t>2</w:t>
            </w:r>
            <w:r w:rsidR="00943776" w:rsidRPr="00522BD9">
              <w:rPr>
                <w:bCs/>
                <w:lang w:val="uk-UA"/>
              </w:rPr>
              <w:t>.</w:t>
            </w:r>
            <w:r w:rsidRPr="00522BD9">
              <w:rPr>
                <w:bCs/>
                <w:lang w:val="uk-UA"/>
              </w:rPr>
              <w:t>2.6.</w:t>
            </w:r>
            <w:r w:rsidR="00943776" w:rsidRPr="00522BD9">
              <w:rPr>
                <w:bCs/>
                <w:lang w:val="uk-UA"/>
              </w:rPr>
              <w:t xml:space="preserve"> Наявність на підприємстві сертифікованого інженера – проектувальника в частині кошторисної документації. Надати </w:t>
            </w:r>
            <w:proofErr w:type="spellStart"/>
            <w:r w:rsidR="00943776" w:rsidRPr="00522BD9">
              <w:rPr>
                <w:bCs/>
                <w:lang w:val="uk-UA"/>
              </w:rPr>
              <w:t>скан</w:t>
            </w:r>
            <w:proofErr w:type="spellEnd"/>
            <w:r w:rsidR="00943776" w:rsidRPr="00522BD9">
              <w:rPr>
                <w:bCs/>
                <w:lang w:val="uk-UA"/>
              </w:rPr>
              <w:t xml:space="preserve"> копію сертифікату, дійсного на дату подання документів (відповідно до Закону України від 20.05.1999 № 687-ХІV «Про архітектурну діяльність») завіреного печаткою та підписом інженера – </w:t>
            </w:r>
            <w:r w:rsidR="00943776" w:rsidRPr="00522BD9">
              <w:rPr>
                <w:bCs/>
                <w:lang w:val="uk-UA"/>
              </w:rPr>
              <w:lastRenderedPageBreak/>
              <w:t xml:space="preserve">проектувальника, з страхуванням цивільно-правової відповідальності перед третіми особами при здійсненні професійної діяльності (надати </w:t>
            </w:r>
            <w:proofErr w:type="spellStart"/>
            <w:r w:rsidR="00943776" w:rsidRPr="00522BD9">
              <w:rPr>
                <w:bCs/>
                <w:lang w:val="uk-UA"/>
              </w:rPr>
              <w:t>скан</w:t>
            </w:r>
            <w:proofErr w:type="spellEnd"/>
            <w:r w:rsidR="00943776" w:rsidRPr="00522BD9">
              <w:rPr>
                <w:bCs/>
                <w:lang w:val="uk-UA"/>
              </w:rPr>
              <w:t xml:space="preserve"> копію угоди цивільно-правової відповідальності перед третіми особами при здійсненні професійної діяльності (копія договору страхування та страхового полісу).</w:t>
            </w:r>
          </w:p>
          <w:p w:rsidR="009C388D" w:rsidRPr="00522BD9" w:rsidRDefault="009C388D" w:rsidP="00943776">
            <w:pPr>
              <w:shd w:val="clear" w:color="auto" w:fill="FFFFFF"/>
              <w:jc w:val="both"/>
              <w:rPr>
                <w:bCs/>
                <w:lang w:val="uk-UA"/>
              </w:rPr>
            </w:pPr>
          </w:p>
        </w:tc>
      </w:tr>
      <w:tr w:rsidR="009C388D" w:rsidRPr="00903E4C" w:rsidTr="00943776">
        <w:trPr>
          <w:trHeight w:val="341"/>
        </w:trPr>
        <w:tc>
          <w:tcPr>
            <w:tcW w:w="4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75" w:type="dxa"/>
              <w:left w:w="75" w:type="dxa"/>
              <w:bottom w:w="75" w:type="dxa"/>
              <w:right w:w="75" w:type="dxa"/>
            </w:tcMar>
            <w:vAlign w:val="center"/>
          </w:tcPr>
          <w:p w:rsidR="009C388D" w:rsidRPr="00522BD9" w:rsidRDefault="009C388D" w:rsidP="00AB3DDF">
            <w:pPr>
              <w:jc w:val="center"/>
              <w:rPr>
                <w:bCs/>
                <w:color w:val="000000"/>
                <w:lang w:val="uk-UA"/>
              </w:rPr>
            </w:pPr>
            <w:r w:rsidRPr="00522BD9">
              <w:rPr>
                <w:bCs/>
                <w:color w:val="000000"/>
                <w:lang w:val="uk-UA"/>
              </w:rPr>
              <w:lastRenderedPageBreak/>
              <w:t>3</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75" w:type="dxa"/>
              <w:left w:w="75" w:type="dxa"/>
              <w:bottom w:w="75" w:type="dxa"/>
              <w:right w:w="75" w:type="dxa"/>
            </w:tcMar>
            <w:vAlign w:val="center"/>
          </w:tcPr>
          <w:p w:rsidR="009C388D" w:rsidRPr="00522BD9" w:rsidRDefault="009C388D" w:rsidP="00AB3DDF">
            <w:pPr>
              <w:jc w:val="center"/>
              <w:rPr>
                <w:shd w:val="clear" w:color="auto" w:fill="FFFFFF"/>
                <w:lang w:val="uk-UA"/>
              </w:rPr>
            </w:pPr>
            <w:r w:rsidRPr="00522BD9">
              <w:rPr>
                <w:b/>
                <w:bCs/>
                <w:color w:val="000000"/>
                <w:lang w:val="uk-UA"/>
              </w:rPr>
              <w:t>Інші документи</w:t>
            </w:r>
          </w:p>
        </w:tc>
        <w:tc>
          <w:tcPr>
            <w:tcW w:w="79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75" w:type="dxa"/>
              <w:left w:w="75" w:type="dxa"/>
              <w:bottom w:w="75" w:type="dxa"/>
              <w:right w:w="75" w:type="dxa"/>
            </w:tcMar>
            <w:vAlign w:val="center"/>
          </w:tcPr>
          <w:p w:rsidR="00522BD9" w:rsidRPr="0072062A" w:rsidRDefault="005D2036" w:rsidP="00943776">
            <w:pPr>
              <w:shd w:val="clear" w:color="auto" w:fill="FFFFFF"/>
              <w:jc w:val="both"/>
              <w:rPr>
                <w:bCs/>
                <w:lang w:val="uk-UA"/>
              </w:rPr>
            </w:pPr>
            <w:r w:rsidRPr="0072062A">
              <w:rPr>
                <w:bCs/>
                <w:lang w:val="uk-UA"/>
              </w:rPr>
              <w:t>3.3.</w:t>
            </w:r>
            <w:r w:rsidR="00BA34BB" w:rsidRPr="0072062A">
              <w:rPr>
                <w:bCs/>
                <w:lang w:val="uk-UA"/>
              </w:rPr>
              <w:t>1</w:t>
            </w:r>
            <w:r w:rsidR="00943776" w:rsidRPr="0072062A">
              <w:rPr>
                <w:bCs/>
                <w:lang w:val="uk-UA"/>
              </w:rPr>
              <w:t xml:space="preserve">. Копія ліцензії Учасника торгів </w:t>
            </w:r>
            <w:r w:rsidR="00522BD9" w:rsidRPr="0072062A">
              <w:rPr>
                <w:bCs/>
                <w:lang w:val="uk-UA"/>
              </w:rPr>
              <w:t xml:space="preserve">на здійснення господарської діяльності з будівництва об’єктів </w:t>
            </w:r>
            <w:r w:rsidR="00943776" w:rsidRPr="0072062A">
              <w:rPr>
                <w:bCs/>
                <w:lang w:val="uk-UA"/>
              </w:rPr>
              <w:t>з додатками</w:t>
            </w:r>
            <w:r w:rsidR="00522BD9" w:rsidRPr="0072062A">
              <w:rPr>
                <w:bCs/>
                <w:lang w:val="uk-UA"/>
              </w:rPr>
              <w:t>; к</w:t>
            </w:r>
            <w:r w:rsidR="00522BD9" w:rsidRPr="0072062A">
              <w:rPr>
                <w:spacing w:val="4"/>
                <w:lang w:val="uk-UA"/>
              </w:rPr>
              <w:t>опія ліцензії, виданої Державною службою України з надзвичайних ситуацій, на право здійснення господарської діяльності з надання послуг і виконання робіт протипожежного призначення.</w:t>
            </w:r>
          </w:p>
          <w:p w:rsidR="00943776" w:rsidRPr="0072062A" w:rsidRDefault="00943776" w:rsidP="00943776">
            <w:pPr>
              <w:shd w:val="clear" w:color="auto" w:fill="FFFFFF"/>
              <w:jc w:val="both"/>
              <w:rPr>
                <w:bCs/>
                <w:lang w:val="uk-UA"/>
              </w:rPr>
            </w:pPr>
            <w:r w:rsidRPr="0072062A">
              <w:rPr>
                <w:bCs/>
                <w:lang w:val="uk-UA"/>
              </w:rPr>
              <w:t>3.3.</w:t>
            </w:r>
            <w:r w:rsidR="00522BD9" w:rsidRPr="0072062A">
              <w:rPr>
                <w:bCs/>
                <w:lang w:val="uk-UA"/>
              </w:rPr>
              <w:t>2</w:t>
            </w:r>
            <w:r w:rsidRPr="0072062A">
              <w:rPr>
                <w:bCs/>
                <w:lang w:val="uk-UA"/>
              </w:rPr>
              <w:t>. Копія дозволу або декларація Державної служби України з питань праці на проведення робіт підвищеної небезпеки, по даних видах робіт.</w:t>
            </w:r>
          </w:p>
          <w:p w:rsidR="00522BD9" w:rsidRPr="0072062A" w:rsidRDefault="00522BD9" w:rsidP="00943776">
            <w:pPr>
              <w:shd w:val="clear" w:color="auto" w:fill="FFFFFF"/>
              <w:jc w:val="both"/>
              <w:rPr>
                <w:bCs/>
                <w:lang w:val="uk-UA"/>
              </w:rPr>
            </w:pPr>
            <w:r w:rsidRPr="0072062A">
              <w:rPr>
                <w:lang w:val="uk-UA"/>
              </w:rPr>
              <w:t xml:space="preserve">Якщо  виконання робіт, що пропонується учасником, потребує наявності дозволу та/або декларації, видані  органом </w:t>
            </w:r>
            <w:proofErr w:type="spellStart"/>
            <w:r w:rsidRPr="0072062A">
              <w:rPr>
                <w:lang w:val="uk-UA"/>
              </w:rPr>
              <w:t>Держпраці</w:t>
            </w:r>
            <w:proofErr w:type="spellEnd"/>
            <w:r w:rsidRPr="0072062A">
              <w:rPr>
                <w:lang w:val="uk-UA"/>
              </w:rPr>
              <w:t xml:space="preserve">, на експлуатацію машин, механізмів, </w:t>
            </w:r>
            <w:proofErr w:type="spellStart"/>
            <w:r w:rsidRPr="0072062A">
              <w:rPr>
                <w:lang w:val="uk-UA"/>
              </w:rPr>
              <w:t>устатковання</w:t>
            </w:r>
            <w:proofErr w:type="spellEnd"/>
            <w:r w:rsidRPr="0072062A">
              <w:rPr>
                <w:lang w:val="uk-UA"/>
              </w:rPr>
              <w:t xml:space="preserve"> підвищеної небезпеки,  учасник має надати у складі тендерної пропозиції такий дозвіл та/або декларацію (сканований оригінал або копію).</w:t>
            </w:r>
          </w:p>
          <w:p w:rsidR="00943776" w:rsidRPr="0072062A" w:rsidRDefault="006A3DDE" w:rsidP="00943776">
            <w:pPr>
              <w:shd w:val="clear" w:color="auto" w:fill="FFFFFF"/>
              <w:jc w:val="both"/>
              <w:rPr>
                <w:bCs/>
                <w:lang w:val="uk-UA"/>
              </w:rPr>
            </w:pPr>
            <w:r w:rsidRPr="0072062A">
              <w:rPr>
                <w:bCs/>
                <w:lang w:val="uk-UA"/>
              </w:rPr>
              <w:t>3.3.</w:t>
            </w:r>
            <w:r w:rsidR="00522BD9" w:rsidRPr="0072062A">
              <w:rPr>
                <w:bCs/>
                <w:lang w:val="uk-UA"/>
              </w:rPr>
              <w:t>3</w:t>
            </w:r>
            <w:r w:rsidRPr="0072062A">
              <w:rPr>
                <w:bCs/>
                <w:lang w:val="uk-UA"/>
              </w:rPr>
              <w:t xml:space="preserve">. </w:t>
            </w:r>
            <w:r w:rsidR="00943776" w:rsidRPr="0072062A">
              <w:rPr>
                <w:bCs/>
                <w:lang w:val="uk-UA"/>
              </w:rPr>
              <w:t>Копію Статуту підприємства (остання редакція)– для юридичних осіб, а для фізичних осіб-підприємців – копію сторінок паспорту, які встановлюють його особу.</w:t>
            </w:r>
          </w:p>
          <w:p w:rsidR="00943776" w:rsidRPr="0072062A" w:rsidRDefault="00943776" w:rsidP="00943776">
            <w:pPr>
              <w:shd w:val="clear" w:color="auto" w:fill="FFFFFF"/>
              <w:ind w:firstLine="708"/>
              <w:jc w:val="both"/>
              <w:rPr>
                <w:bCs/>
                <w:lang w:val="uk-UA"/>
              </w:rPr>
            </w:pPr>
            <w:r w:rsidRPr="0072062A">
              <w:rPr>
                <w:bCs/>
                <w:lang w:val="uk-UA"/>
              </w:rPr>
              <w:t>*</w:t>
            </w:r>
            <w:r w:rsidRPr="0072062A">
              <w:rPr>
                <w:lang w:val="uk-UA"/>
              </w:rPr>
              <w:t xml:space="preserve"> </w:t>
            </w:r>
            <w:r w:rsidRPr="0072062A">
              <w:rPr>
                <w:bCs/>
                <w:lang w:val="uk-UA"/>
              </w:rPr>
              <w:t>Вимоги до статуту:</w:t>
            </w:r>
          </w:p>
          <w:p w:rsidR="00943776" w:rsidRPr="0072062A" w:rsidRDefault="00943776" w:rsidP="00943776">
            <w:pPr>
              <w:shd w:val="clear" w:color="auto" w:fill="FFFFFF"/>
              <w:jc w:val="both"/>
              <w:rPr>
                <w:bCs/>
                <w:lang w:val="uk-UA"/>
              </w:rPr>
            </w:pPr>
            <w:r w:rsidRPr="0072062A">
              <w:rPr>
                <w:bCs/>
                <w:lang w:val="uk-UA"/>
              </w:rPr>
              <w:t>1) статут повинен містити відмітку державного реєстратора про проведення державної реєстрації.</w:t>
            </w:r>
          </w:p>
          <w:p w:rsidR="00943776" w:rsidRPr="0072062A" w:rsidRDefault="00943776" w:rsidP="00943776">
            <w:pPr>
              <w:shd w:val="clear" w:color="auto" w:fill="FFFFFF"/>
              <w:jc w:val="both"/>
              <w:rPr>
                <w:bCs/>
                <w:lang w:val="uk-UA"/>
              </w:rPr>
            </w:pPr>
            <w:r w:rsidRPr="0072062A">
              <w:rPr>
                <w:bCs/>
                <w:lang w:val="uk-UA"/>
              </w:rPr>
              <w:t>2) 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72062A">
              <w:rPr>
                <w:bCs/>
                <w:lang w:val="uk-UA"/>
              </w:rPr>
              <w:t>ів</w:t>
            </w:r>
            <w:proofErr w:type="spellEnd"/>
            <w:r w:rsidRPr="0072062A">
              <w:rPr>
                <w:bCs/>
                <w:lang w:val="uk-UA"/>
              </w:rPr>
              <w:t>)).</w:t>
            </w:r>
          </w:p>
          <w:p w:rsidR="00943776" w:rsidRPr="0072062A" w:rsidRDefault="00943776" w:rsidP="00943776">
            <w:pPr>
              <w:shd w:val="clear" w:color="auto" w:fill="FFFFFF"/>
              <w:jc w:val="both"/>
              <w:rPr>
                <w:bCs/>
                <w:lang w:val="uk-UA"/>
              </w:rPr>
            </w:pPr>
            <w:r w:rsidRPr="0072062A">
              <w:rPr>
                <w:bCs/>
                <w:lang w:val="uk-UA"/>
              </w:rPr>
              <w:t>3)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rsidR="00460267" w:rsidRPr="0072062A" w:rsidRDefault="00522BD9" w:rsidP="006A3DDE">
            <w:pPr>
              <w:shd w:val="clear" w:color="auto" w:fill="FFFFFF"/>
              <w:jc w:val="both"/>
              <w:rPr>
                <w:bCs/>
                <w:lang w:val="uk-UA"/>
              </w:rPr>
            </w:pPr>
            <w:r w:rsidRPr="0072062A">
              <w:rPr>
                <w:bCs/>
                <w:lang w:val="uk-UA"/>
              </w:rPr>
              <w:t xml:space="preserve">3.3.4. Копія балансу учасника та копія звіту про фінансові результати з відміткою про прийняття відповідного органу за 2023 рік (річну). Показники фінансової звітності учасника мають підтверджувати наявність в нього залишку грошових коштів на звітну дату в сумі </w:t>
            </w:r>
            <w:r w:rsidRPr="0072062A">
              <w:rPr>
                <w:lang w:val="uk-UA"/>
              </w:rPr>
              <w:t>не менше 30% від очікуваної вартості закупівлі.</w:t>
            </w:r>
          </w:p>
          <w:p w:rsidR="007C62BA" w:rsidRPr="0072062A" w:rsidRDefault="007C62BA" w:rsidP="0050435D">
            <w:pPr>
              <w:shd w:val="clear" w:color="auto" w:fill="FFFFFF"/>
              <w:jc w:val="both"/>
              <w:rPr>
                <w:bCs/>
                <w:lang w:val="uk-UA"/>
              </w:rPr>
            </w:pPr>
          </w:p>
        </w:tc>
      </w:tr>
    </w:tbl>
    <w:p w:rsidR="009C388D" w:rsidRPr="00522BD9" w:rsidRDefault="009C388D" w:rsidP="00356708">
      <w:pPr>
        <w:keepNext/>
        <w:keepLines/>
        <w:widowControl w:val="0"/>
        <w:tabs>
          <w:tab w:val="left" w:pos="0"/>
          <w:tab w:val="left" w:pos="284"/>
          <w:tab w:val="left" w:pos="851"/>
        </w:tabs>
        <w:suppressAutoHyphens/>
        <w:jc w:val="both"/>
        <w:rPr>
          <w:color w:val="000000"/>
          <w:sz w:val="28"/>
          <w:szCs w:val="28"/>
          <w:lang w:val="uk-UA" w:eastAsia="uk-UA"/>
        </w:rPr>
      </w:pPr>
    </w:p>
    <w:sectPr w:rsidR="009C388D" w:rsidRPr="00522BD9" w:rsidSect="006A2590">
      <w:footerReference w:type="default" r:id="rId8"/>
      <w:pgSz w:w="11906" w:h="16838"/>
      <w:pgMar w:top="567" w:right="991" w:bottom="993" w:left="851" w:header="51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DDD" w:rsidRDefault="00B16DDD" w:rsidP="00401AF0">
      <w:r>
        <w:separator/>
      </w:r>
    </w:p>
  </w:endnote>
  <w:endnote w:type="continuationSeparator" w:id="0">
    <w:p w:rsidR="00B16DDD" w:rsidRDefault="00B16DDD" w:rsidP="00401A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181183"/>
      <w:docPartObj>
        <w:docPartGallery w:val="Page Numbers (Bottom of Page)"/>
        <w:docPartUnique/>
      </w:docPartObj>
    </w:sdtPr>
    <w:sdtEndPr>
      <w:rPr>
        <w:sz w:val="22"/>
        <w:szCs w:val="22"/>
      </w:rPr>
    </w:sdtEndPr>
    <w:sdtContent>
      <w:p w:rsidR="00B53C07" w:rsidRPr="00CE1326" w:rsidRDefault="00207AB8">
        <w:pPr>
          <w:pStyle w:val="a3"/>
          <w:jc w:val="right"/>
          <w:rPr>
            <w:sz w:val="22"/>
            <w:szCs w:val="22"/>
          </w:rPr>
        </w:pPr>
        <w:r w:rsidRPr="00CE1326">
          <w:rPr>
            <w:sz w:val="22"/>
            <w:szCs w:val="22"/>
          </w:rPr>
          <w:fldChar w:fldCharType="begin"/>
        </w:r>
        <w:r w:rsidR="00192EF0" w:rsidRPr="00CE1326">
          <w:rPr>
            <w:sz w:val="22"/>
            <w:szCs w:val="22"/>
          </w:rPr>
          <w:instrText>PAGE   \* MERGEFORMAT</w:instrText>
        </w:r>
        <w:r w:rsidRPr="00CE1326">
          <w:rPr>
            <w:sz w:val="22"/>
            <w:szCs w:val="22"/>
          </w:rPr>
          <w:fldChar w:fldCharType="separate"/>
        </w:r>
        <w:r w:rsidR="00903E4C">
          <w:rPr>
            <w:noProof/>
            <w:sz w:val="22"/>
            <w:szCs w:val="22"/>
          </w:rPr>
          <w:t>2</w:t>
        </w:r>
        <w:r w:rsidRPr="00CE1326">
          <w:rPr>
            <w:sz w:val="22"/>
            <w:szCs w:val="22"/>
          </w:rPr>
          <w:fldChar w:fldCharType="end"/>
        </w:r>
      </w:p>
    </w:sdtContent>
  </w:sdt>
  <w:p w:rsidR="00B53C07" w:rsidRDefault="00B16DD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DDD" w:rsidRDefault="00B16DDD" w:rsidP="00401AF0">
      <w:r>
        <w:separator/>
      </w:r>
    </w:p>
  </w:footnote>
  <w:footnote w:type="continuationSeparator" w:id="0">
    <w:p w:rsidR="00B16DDD" w:rsidRDefault="00B16DDD" w:rsidP="00401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EB96694"/>
    <w:multiLevelType w:val="hybridMultilevel"/>
    <w:tmpl w:val="FC42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D7F49"/>
    <w:multiLevelType w:val="hybridMultilevel"/>
    <w:tmpl w:val="6DF023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6E95471"/>
    <w:multiLevelType w:val="hybridMultilevel"/>
    <w:tmpl w:val="5850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828B5"/>
    <w:multiLevelType w:val="hybridMultilevel"/>
    <w:tmpl w:val="C3AE99A8"/>
    <w:lvl w:ilvl="0" w:tplc="0890CFF6">
      <w:start w:val="1"/>
      <w:numFmt w:val="decimal"/>
      <w:lvlText w:val="%1."/>
      <w:lvlJc w:val="left"/>
      <w:pPr>
        <w:ind w:left="824" w:hanging="540"/>
      </w:pPr>
      <w:rPr>
        <w:rFonts w:cs="Times New Roman" w:hint="default"/>
        <w:b w:val="0"/>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nsid w:val="4C6E62D1"/>
    <w:multiLevelType w:val="hybridMultilevel"/>
    <w:tmpl w:val="40A2E4A8"/>
    <w:lvl w:ilvl="0" w:tplc="7E2AA08A">
      <w:start w:val="2"/>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9270458"/>
    <w:multiLevelType w:val="multilevel"/>
    <w:tmpl w:val="66E030CC"/>
    <w:lvl w:ilvl="0">
      <w:start w:val="1"/>
      <w:numFmt w:val="decimal"/>
      <w:lvlText w:val="%1."/>
      <w:lvlJc w:val="left"/>
      <w:pPr>
        <w:ind w:left="872" w:hanging="588"/>
      </w:pPr>
      <w:rPr>
        <w:rFonts w:hint="default"/>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7">
    <w:nsid w:val="6A161EB0"/>
    <w:multiLevelType w:val="hybridMultilevel"/>
    <w:tmpl w:val="DB0E310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2"/>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E22A7"/>
    <w:rsid w:val="00041DDF"/>
    <w:rsid w:val="00046FF7"/>
    <w:rsid w:val="000545E0"/>
    <w:rsid w:val="000623BD"/>
    <w:rsid w:val="00073BB9"/>
    <w:rsid w:val="000A146B"/>
    <w:rsid w:val="000B6250"/>
    <w:rsid w:val="000E33D5"/>
    <w:rsid w:val="00103CE7"/>
    <w:rsid w:val="001112D6"/>
    <w:rsid w:val="00143BD5"/>
    <w:rsid w:val="00144389"/>
    <w:rsid w:val="0015217C"/>
    <w:rsid w:val="00176024"/>
    <w:rsid w:val="00192EF0"/>
    <w:rsid w:val="001A5301"/>
    <w:rsid w:val="001E3AC8"/>
    <w:rsid w:val="001E68FE"/>
    <w:rsid w:val="00207AB8"/>
    <w:rsid w:val="00211D8B"/>
    <w:rsid w:val="00215910"/>
    <w:rsid w:val="00222E2B"/>
    <w:rsid w:val="002232C5"/>
    <w:rsid w:val="00234F1E"/>
    <w:rsid w:val="002408A8"/>
    <w:rsid w:val="00244D5B"/>
    <w:rsid w:val="0024746E"/>
    <w:rsid w:val="0025526A"/>
    <w:rsid w:val="002635C1"/>
    <w:rsid w:val="00270CDC"/>
    <w:rsid w:val="00293F52"/>
    <w:rsid w:val="002A32AE"/>
    <w:rsid w:val="002F31A0"/>
    <w:rsid w:val="00333099"/>
    <w:rsid w:val="00356708"/>
    <w:rsid w:val="00393B50"/>
    <w:rsid w:val="003A0D5F"/>
    <w:rsid w:val="003A6A9F"/>
    <w:rsid w:val="003C32DC"/>
    <w:rsid w:val="003E5F02"/>
    <w:rsid w:val="00401AF0"/>
    <w:rsid w:val="004553C4"/>
    <w:rsid w:val="00460267"/>
    <w:rsid w:val="004875EE"/>
    <w:rsid w:val="004B2DF0"/>
    <w:rsid w:val="004B7D3B"/>
    <w:rsid w:val="004C1228"/>
    <w:rsid w:val="004D641F"/>
    <w:rsid w:val="004D7CB0"/>
    <w:rsid w:val="004F7960"/>
    <w:rsid w:val="00502FEA"/>
    <w:rsid w:val="0050435D"/>
    <w:rsid w:val="00522BD9"/>
    <w:rsid w:val="005B1B1B"/>
    <w:rsid w:val="005D2036"/>
    <w:rsid w:val="005F5A02"/>
    <w:rsid w:val="00636A07"/>
    <w:rsid w:val="006421B5"/>
    <w:rsid w:val="00645435"/>
    <w:rsid w:val="00650B42"/>
    <w:rsid w:val="0066267E"/>
    <w:rsid w:val="00662B0D"/>
    <w:rsid w:val="00685DE2"/>
    <w:rsid w:val="0069629E"/>
    <w:rsid w:val="006A2590"/>
    <w:rsid w:val="006A3DDE"/>
    <w:rsid w:val="006F4D49"/>
    <w:rsid w:val="00717BC5"/>
    <w:rsid w:val="0072062A"/>
    <w:rsid w:val="00720B9A"/>
    <w:rsid w:val="00757660"/>
    <w:rsid w:val="00763509"/>
    <w:rsid w:val="007911AF"/>
    <w:rsid w:val="007C4AEB"/>
    <w:rsid w:val="007C62BA"/>
    <w:rsid w:val="007D3DA9"/>
    <w:rsid w:val="007D67EB"/>
    <w:rsid w:val="00800CAD"/>
    <w:rsid w:val="008925F4"/>
    <w:rsid w:val="00894D16"/>
    <w:rsid w:val="008D243A"/>
    <w:rsid w:val="00903E4C"/>
    <w:rsid w:val="00922B21"/>
    <w:rsid w:val="009308CE"/>
    <w:rsid w:val="00943776"/>
    <w:rsid w:val="00981ED0"/>
    <w:rsid w:val="009A2E01"/>
    <w:rsid w:val="009A7CCB"/>
    <w:rsid w:val="009C388D"/>
    <w:rsid w:val="009D5166"/>
    <w:rsid w:val="00A03579"/>
    <w:rsid w:val="00A05C4D"/>
    <w:rsid w:val="00A44639"/>
    <w:rsid w:val="00A54A0E"/>
    <w:rsid w:val="00A87123"/>
    <w:rsid w:val="00AA06D7"/>
    <w:rsid w:val="00AB417A"/>
    <w:rsid w:val="00AB7329"/>
    <w:rsid w:val="00AC12C7"/>
    <w:rsid w:val="00AE22A7"/>
    <w:rsid w:val="00AE4A3A"/>
    <w:rsid w:val="00B07121"/>
    <w:rsid w:val="00B10529"/>
    <w:rsid w:val="00B16DDD"/>
    <w:rsid w:val="00B42C31"/>
    <w:rsid w:val="00B53C88"/>
    <w:rsid w:val="00B55C86"/>
    <w:rsid w:val="00B5796D"/>
    <w:rsid w:val="00B73861"/>
    <w:rsid w:val="00BA34BB"/>
    <w:rsid w:val="00BB5C9C"/>
    <w:rsid w:val="00C15BFD"/>
    <w:rsid w:val="00C53DB5"/>
    <w:rsid w:val="00C6355C"/>
    <w:rsid w:val="00CD5F1D"/>
    <w:rsid w:val="00D000BB"/>
    <w:rsid w:val="00D0593F"/>
    <w:rsid w:val="00D316AE"/>
    <w:rsid w:val="00D346BF"/>
    <w:rsid w:val="00D4356D"/>
    <w:rsid w:val="00DA57A4"/>
    <w:rsid w:val="00DB735D"/>
    <w:rsid w:val="00DB7E2F"/>
    <w:rsid w:val="00E23A18"/>
    <w:rsid w:val="00E77315"/>
    <w:rsid w:val="00E96015"/>
    <w:rsid w:val="00E97AE4"/>
    <w:rsid w:val="00EC09E6"/>
    <w:rsid w:val="00ED5DA6"/>
    <w:rsid w:val="00ED66D6"/>
    <w:rsid w:val="00F22D9C"/>
    <w:rsid w:val="00F416EB"/>
    <w:rsid w:val="00F539D6"/>
    <w:rsid w:val="00F768E5"/>
    <w:rsid w:val="00F85BA5"/>
    <w:rsid w:val="00FA431A"/>
    <w:rsid w:val="00FE07F6"/>
    <w:rsid w:val="00FF18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F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unhideWhenUsed/>
    <w:rsid w:val="00192EF0"/>
    <w:pPr>
      <w:tabs>
        <w:tab w:val="center" w:pos="4677"/>
        <w:tab w:val="right" w:pos="9355"/>
      </w:tabs>
    </w:pPr>
  </w:style>
  <w:style w:type="character" w:customStyle="1" w:styleId="a4">
    <w:name w:val="Нижний колонтитул Знак"/>
    <w:basedOn w:val="a0"/>
    <w:uiPriority w:val="99"/>
    <w:semiHidden/>
    <w:rsid w:val="00192EF0"/>
    <w:rPr>
      <w:rFonts w:ascii="Times New Roman" w:eastAsia="Times New Roman" w:hAnsi="Times New Roman" w:cs="Times New Roman"/>
      <w:sz w:val="24"/>
      <w:szCs w:val="24"/>
      <w:lang w:val="ru-RU" w:eastAsia="ru-RU"/>
    </w:rPr>
  </w:style>
  <w:style w:type="character" w:customStyle="1" w:styleId="1">
    <w:name w:val="Нижний колонтитул Знак1"/>
    <w:basedOn w:val="a0"/>
    <w:link w:val="a3"/>
    <w:uiPriority w:val="99"/>
    <w:rsid w:val="00192EF0"/>
    <w:rPr>
      <w:rFonts w:ascii="Times New Roman" w:eastAsia="Times New Roman" w:hAnsi="Times New Roman" w:cs="Times New Roman"/>
      <w:sz w:val="24"/>
      <w:szCs w:val="24"/>
      <w:lang w:val="ru-RU" w:eastAsia="ru-RU"/>
    </w:rPr>
  </w:style>
  <w:style w:type="character" w:customStyle="1" w:styleId="2">
    <w:name w:val="Заголовок №2_"/>
    <w:link w:val="20"/>
    <w:rsid w:val="00192EF0"/>
    <w:rPr>
      <w:shd w:val="clear" w:color="auto" w:fill="FFFFFF"/>
    </w:rPr>
  </w:style>
  <w:style w:type="paragraph" w:customStyle="1" w:styleId="20">
    <w:name w:val="Заголовок №2"/>
    <w:basedOn w:val="a"/>
    <w:link w:val="2"/>
    <w:rsid w:val="00192EF0"/>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paragraph" w:styleId="a5">
    <w:name w:val="List Paragraph"/>
    <w:aliases w:val="Elenco Normale,List Paragraph,Список уровня 2,название табл/рис,Chapter10"/>
    <w:basedOn w:val="a"/>
    <w:link w:val="a6"/>
    <w:uiPriority w:val="34"/>
    <w:qFormat/>
    <w:rsid w:val="00650B42"/>
    <w:pPr>
      <w:spacing w:after="200" w:line="276" w:lineRule="auto"/>
      <w:ind w:left="720"/>
      <w:contextualSpacing/>
    </w:pPr>
    <w:rPr>
      <w:rFonts w:ascii="Calibri" w:eastAsia="Calibri" w:hAnsi="Calibri"/>
      <w:sz w:val="22"/>
      <w:szCs w:val="22"/>
      <w:lang w:val="uk-UA" w:eastAsia="en-US"/>
    </w:rPr>
  </w:style>
  <w:style w:type="table" w:styleId="a7">
    <w:name w:val="Table Grid"/>
    <w:basedOn w:val="a1"/>
    <w:uiPriority w:val="39"/>
    <w:rsid w:val="00650B42"/>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Elenco Normale Знак,List Paragraph Знак,Список уровня 2 Знак,название табл/рис Знак,Chapter10 Знак"/>
    <w:link w:val="a5"/>
    <w:uiPriority w:val="34"/>
    <w:rsid w:val="00650B42"/>
    <w:rPr>
      <w:rFonts w:ascii="Calibri" w:eastAsia="Calibri" w:hAnsi="Calibri" w:cs="Times New Roman"/>
    </w:rPr>
  </w:style>
  <w:style w:type="character" w:customStyle="1" w:styleId="docdata">
    <w:name w:val="docdata"/>
    <w:aliases w:val="docy,v5,1839,baiaagaaboqcaaadaauaaav2bqaaaaaaaaaaaaaaaaaaaaaaaaaaaaaaaaaaaaaaaaaaaaaaaaaaaaaaaaaaaaaaaaaaaaaaaaaaaaaaaaaaaaaaaaaaaaaaaaaaaaaaaaaaaaaaaaaaaaaaaaaaaaaaaaaaaaaaaaaaaaaaaaaaaaaaaaaaaaaaaaaaaaaaaaaaaaaaaaaaaaaaaaaaaaaaaaaaaaaaaaaaaaaa"/>
    <w:basedOn w:val="a0"/>
    <w:rsid w:val="007D67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275B5-F4B9-4C2B-B3C3-96A306D3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5054</Words>
  <Characters>2882</Characters>
  <Application>Microsoft Office Word</Application>
  <DocSecurity>0</DocSecurity>
  <Lines>24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2023-09-05T06:41:00Z</cp:lastPrinted>
  <dcterms:created xsi:type="dcterms:W3CDTF">2024-04-02T08:10:00Z</dcterms:created>
  <dcterms:modified xsi:type="dcterms:W3CDTF">2024-04-02T08:29:00Z</dcterms:modified>
</cp:coreProperties>
</file>