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CC" w:rsidRDefault="00911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115CC" w:rsidRDefault="0035106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color w:val="00000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lang w:val="uk-UA"/>
        </w:rPr>
        <w:t>2</w:t>
      </w:r>
    </w:p>
    <w:p w:rsidR="009115CC" w:rsidRDefault="0035106F">
      <w:pPr>
        <w:spacing w:after="0" w:line="240" w:lineRule="auto"/>
        <w:ind w:left="5660" w:firstLine="700"/>
        <w:jc w:val="right"/>
      </w:pPr>
      <w:r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</w:p>
    <w:p w:rsidR="009115CC" w:rsidRDefault="0035106F">
      <w:pPr>
        <w:spacing w:before="240"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Підстави для відмови в участі у процедурі закупівлі</w:t>
      </w:r>
    </w:p>
    <w:p w:rsidR="009115CC" w:rsidRDefault="009115C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0800" w:type="dxa"/>
        <w:tblInd w:w="-6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00" w:firstRow="0" w:lastRow="0" w:firstColumn="0" w:lastColumn="0" w:noHBand="0" w:noVBand="1"/>
      </w:tblPr>
      <w:tblGrid>
        <w:gridCol w:w="991"/>
        <w:gridCol w:w="3314"/>
        <w:gridCol w:w="2506"/>
        <w:gridCol w:w="3989"/>
      </w:tblGrid>
      <w:tr w:rsidR="009115CC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115CC" w:rsidRDefault="003510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115CC" w:rsidRDefault="0035106F">
            <w:pPr>
              <w:ind w:firstLine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ідстави для відмови в участі у процедурі закупівлі</w:t>
            </w:r>
          </w:p>
          <w:p w:rsidR="009115CC" w:rsidRDefault="009115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115CC" w:rsidRDefault="003510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і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115CC" w:rsidRDefault="003510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Переможець у строк, що не перевищує чотири дні з дати оприлюднення в </w:t>
            </w:r>
            <w:r>
              <w:rPr>
                <w:rFonts w:ascii="Times New Roman" w:eastAsia="Times New Roman" w:hAnsi="Times New Roman" w:cs="Times New Roman"/>
                <w:b/>
              </w:rPr>
              <w:t>електронній системі закупівель повідомлення про намі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9115CC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  <w:highlight w:val="white"/>
              </w:rPr>
              <w:t>Замовник має незаперечні докази того, що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пункт 1 частини 1 статті 17 Закону)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 xml:space="preserve">Замовник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іряє інформацію самостійно.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 xml:space="preserve">Замовник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іряє інформацію самостійно. 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ідтвердження своєї відповідності.</w:t>
            </w:r>
          </w:p>
        </w:tc>
      </w:tr>
      <w:tr w:rsidR="009115CC">
        <w:trPr>
          <w:trHeight w:val="583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  <w:highlight w:val="white"/>
              </w:rPr>
              <w:t>Відомості про юридичну особу,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і, внесено до Єдиного державного реєстру осіб, які вчинили корупційні або пов’язані з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корупцією правопорушення (</w:t>
            </w:r>
            <w:r>
              <w:rPr>
                <w:rFonts w:ascii="Times New Roman" w:eastAsia="Times New Roman" w:hAnsi="Times New Roman" w:cs="Times New Roman"/>
              </w:rPr>
              <w:t>пункт 2 частини 1 статті 17 Закону)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</w:rPr>
              <w:t>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</w:rPr>
              <w:t xml:space="preserve">має надати витяг або довідку з Єдиного державного реєстру осіб, які вчинили корупційні правопорушення про те, що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відомості про юридичну особу,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і, не внесено до Єдиного державного реєстру осіб, які вчинили корупційні або по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в’язані з корупцією правопорушення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115CC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і,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до відповідальності за вчинення корупційного правопорушення або правопорушення, пов’язаного з корупцією (</w:t>
            </w:r>
            <w:r>
              <w:rPr>
                <w:rFonts w:ascii="Times New Roman" w:eastAsia="Times New Roman" w:hAnsi="Times New Roman" w:cs="Times New Roman"/>
              </w:rPr>
              <w:t>пункт 3 частини 1 статті 17 Закону)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lastRenderedPageBreak/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 підтверджує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відсутність підстави шляхом самостійного декларування відсутності такої під</w:t>
            </w:r>
            <w:r>
              <w:rPr>
                <w:rFonts w:ascii="Times New Roman" w:eastAsia="Times New Roman" w:hAnsi="Times New Roman" w:cs="Times New Roman"/>
              </w:rPr>
              <w:t>стави в електронній системі закупівель під час подання тендерної пропозиції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 момент оприлюднення оголошення про проведення відкритих торгів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доступ до Єдиного державного реєстру осіб, які вчинили корупційні або пов’язані з корупцією правопорушення є обмеж</w:t>
            </w:r>
            <w:r>
              <w:rPr>
                <w:rFonts w:ascii="Times New Roman" w:eastAsia="Times New Roman" w:hAnsi="Times New Roman" w:cs="Times New Roman"/>
              </w:rPr>
              <w:t>еним, тому відповідно до пункту 44 Особливостей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 має надати витяг або довідку з Єдиного державного реєстру осіб, які вчинили корупційні правопорушення  про те, що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і, яку упо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ією.</w:t>
            </w:r>
          </w:p>
        </w:tc>
      </w:tr>
      <w:tr w:rsidR="009115CC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7" w:anchor="n456" w:history="1">
              <w:r>
                <w:rPr>
                  <w:rStyle w:val="-"/>
                  <w:rFonts w:ascii="Times New Roman" w:eastAsia="Times New Roman" w:hAnsi="Times New Roman" w:cs="Times New Roman"/>
                  <w:highlight w:val="white"/>
                </w:rPr>
                <w:t>пунктом 1 статті 50</w:t>
              </w:r>
            </w:hyperlink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 Закону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України «Про захист економічної конкуренції», у вигляді вчинення антиконкурентних узгоджених дій, що стосуються спотворення результатів тендерів (</w:t>
            </w:r>
            <w:r>
              <w:rPr>
                <w:rFonts w:ascii="Times New Roman" w:eastAsia="Times New Roman" w:hAnsi="Times New Roman" w:cs="Times New Roman"/>
              </w:rPr>
              <w:t>пункт 4 частини 1 статті 17 Закону)</w:t>
            </w:r>
            <w:proofErr w:type="gramEnd"/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 xml:space="preserve">Замовник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іряє інформацію самостійно.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 xml:space="preserve">Замовник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іряє інформацію са</w:t>
            </w:r>
            <w:r>
              <w:rPr>
                <w:rFonts w:ascii="Times New Roman" w:eastAsia="Times New Roman" w:hAnsi="Times New Roman" w:cs="Times New Roman"/>
              </w:rPr>
              <w:t xml:space="preserve">мостійно. 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ідтвердження своєї відповідності.</w:t>
            </w:r>
          </w:p>
        </w:tc>
      </w:tr>
      <w:tr w:rsidR="009115CC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димість з якої не знято або не погашено у встановленому законом порядку (</w:t>
            </w:r>
            <w:r>
              <w:rPr>
                <w:rFonts w:ascii="Times New Roman" w:eastAsia="Times New Roman" w:hAnsi="Times New Roman" w:cs="Times New Roman"/>
              </w:rPr>
              <w:t>пункт 5 частини 1 статті 17 Закону)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 підтверджує відсутність підстави шляхом самостійного декларування відсутності такої підстави в електронній системі заку</w:t>
            </w:r>
            <w:r>
              <w:rPr>
                <w:rFonts w:ascii="Times New Roman" w:eastAsia="Times New Roman" w:hAnsi="Times New Roman" w:cs="Times New Roman"/>
              </w:rPr>
              <w:t>півель під час подання тендерної пропозиції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</w:t>
            </w:r>
            <w:r>
              <w:rPr>
                <w:rFonts w:ascii="Times New Roman" w:eastAsia="Times New Roman" w:hAnsi="Times New Roman" w:cs="Times New Roman"/>
              </w:rPr>
              <w:t xml:space="preserve">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9115CC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і, яка підписала тендерну пропозицію (або упо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хабарництвом, шахрайством та відмиванням коштів), судимість з якої не знято або не п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огашено у встановленому законом порядку (</w:t>
            </w:r>
            <w:r>
              <w:rPr>
                <w:rFonts w:ascii="Times New Roman" w:eastAsia="Times New Roman" w:hAnsi="Times New Roman" w:cs="Times New Roman"/>
              </w:rPr>
              <w:t>пункт 6 частини 1 статті 17 Закону)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lastRenderedPageBreak/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пропозиції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lastRenderedPageBreak/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службова (посадова) особа учасника процедури </w:t>
            </w:r>
            <w:r>
              <w:rPr>
                <w:rFonts w:ascii="Times New Roman" w:eastAsia="Times New Roman" w:hAnsi="Times New Roman" w:cs="Times New Roman"/>
              </w:rPr>
              <w:t xml:space="preserve">закупівлі, яка підписала тендерну пропозицію до кримінальної відповідальності не притягується,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незнятої чи непогашеної судимості не має та в розшуку не перебува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є.</w:t>
            </w:r>
            <w:proofErr w:type="gramEnd"/>
          </w:p>
        </w:tc>
      </w:tr>
      <w:tr w:rsidR="009115CC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  <w:highlight w:val="white"/>
              </w:rPr>
              <w:t>Тендерна пропозиція подана учасником конкурентної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і або участь у перегов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>
              <w:rPr>
                <w:rFonts w:ascii="Times New Roman" w:eastAsia="Times New Roman" w:hAnsi="Times New Roman" w:cs="Times New Roman"/>
              </w:rPr>
              <w:t>пункт 7 частини 1 статті 17 Закону)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 xml:space="preserve">Замовник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іряє інформацію самостійно.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>На моме</w:t>
            </w:r>
            <w:r>
              <w:rPr>
                <w:rFonts w:ascii="Times New Roman" w:eastAsia="Times New Roman" w:hAnsi="Times New Roman" w:cs="Times New Roman"/>
              </w:rPr>
              <w:t xml:space="preserve">нт оприлюднення оголошення про проведення відкритих торгів доступ до Єдиного державного реєстру юридичних осіб, фізичних осіб 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ідприємців та громадських формувань є обмеженим, тому відповідно до пункту 44 Особливостей переможець процедури закупівлі має н</w:t>
            </w:r>
            <w:r>
              <w:rPr>
                <w:rFonts w:ascii="Times New Roman" w:eastAsia="Times New Roman" w:hAnsi="Times New Roman" w:cs="Times New Roman"/>
              </w:rPr>
              <w:t xml:space="preserve">адати довідку в довільній формі або гарантійний лист  про те, що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тендерна пропозиція подана учасником конкурентної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і або участь у переговорній процедурі бере учасник, який не є пов’язаною особою з іншими учасниками процедури закупівлі та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/ або з уповноваженою особою (особами), та / або з керівником замовника</w:t>
            </w:r>
            <w:r>
              <w:rPr>
                <w:rFonts w:ascii="Times New Roman" w:eastAsia="Times New Roman" w:hAnsi="Times New Roman" w:cs="Times New Roman"/>
              </w:rPr>
              <w:t>. </w:t>
            </w:r>
          </w:p>
        </w:tc>
      </w:tr>
      <w:tr w:rsidR="009115CC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і визнаний у встановленому законом порядку банкрутом та стосовно нього відкрита ліквідаційна процедура (</w:t>
            </w:r>
            <w:r>
              <w:rPr>
                <w:rFonts w:ascii="Times New Roman" w:eastAsia="Times New Roman" w:hAnsi="Times New Roman" w:cs="Times New Roman"/>
              </w:rPr>
              <w:t>пункт 8 частини 1 статті 17 Закону)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 xml:space="preserve">Учасник </w:t>
            </w:r>
            <w:r>
              <w:rPr>
                <w:rFonts w:ascii="Times New Roman" w:eastAsia="Times New Roman" w:hAnsi="Times New Roman" w:cs="Times New Roman"/>
              </w:rPr>
              <w:t>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 xml:space="preserve">На момент оприлюднення оголошення про проведення відкритих торгів доступ </w:t>
            </w:r>
            <w:r>
              <w:rPr>
                <w:rFonts w:ascii="Times New Roman" w:eastAsia="Times New Roman" w:hAnsi="Times New Roman" w:cs="Times New Roman"/>
              </w:rPr>
              <w:t xml:space="preserve">до Єдиного реєстру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ідприємств, щодо яких порушено провадження у справі про банкрутство є обмеженим,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</w:t>
            </w:r>
            <w:r>
              <w:rPr>
                <w:rFonts w:ascii="Times New Roman" w:eastAsia="Times New Roman" w:hAnsi="Times New Roman" w:cs="Times New Roman"/>
              </w:rPr>
              <w:t>тиції України або Міністерством юстиції України про те, що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9115CC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  <w:highlight w:val="white"/>
              </w:rPr>
              <w:t>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і юридичних осіб, фізичних 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>
              <w:rPr>
                <w:rFonts w:ascii="Times New Roman" w:eastAsia="Times New Roman" w:hAnsi="Times New Roman" w:cs="Times New Roman"/>
              </w:rPr>
              <w:t xml:space="preserve">пункт 9 частини 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</w:rPr>
              <w:t>атті 17 Закону)</w:t>
            </w:r>
            <w:proofErr w:type="gramEnd"/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ідприємців та громадських формувань є обмеженим, тому відповідно до пункту 44 Особливостей переможець процедури закупівл</w:t>
            </w:r>
            <w:r>
              <w:rPr>
                <w:rFonts w:ascii="Times New Roman" w:eastAsia="Times New Roman" w:hAnsi="Times New Roman" w:cs="Times New Roman"/>
              </w:rPr>
              <w:t xml:space="preserve">і має надати витяг з Єдиного державного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реєстру юридичних осіб, фізичних осіб - підприємців та громадських формувань, </w:t>
            </w:r>
            <w:r>
              <w:rPr>
                <w:rFonts w:ascii="Times New Roman" w:eastAsia="Times New Roman" w:hAnsi="Times New Roman" w:cs="Times New Roman"/>
              </w:rPr>
              <w:t>   в який містить інформацію про те, що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Єдиному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і юридичних осіб, фізичних осіб - підприємців та громадських формувань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наявна інформація про переможця, передбачена пунктом 9 частини 2 статті 9 Закону України «Про державну реєстрацію юридичних осіб, фізичних осіб -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ідприємців та громадських формувань» (крім нерезидентів)</w:t>
            </w:r>
          </w:p>
        </w:tc>
      </w:tr>
      <w:tr w:rsidR="009115CC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  <w:highlight w:val="white"/>
              </w:rPr>
              <w:t>Юридична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>
              <w:rPr>
                <w:rFonts w:ascii="Times New Roman" w:eastAsia="Times New Roman" w:hAnsi="Times New Roman" w:cs="Times New Roman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</w:rPr>
              <w:t>10 частини 1 статті 17 Закону)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115CC" w:rsidRDefault="0035106F">
            <w:r>
              <w:rPr>
                <w:rFonts w:ascii="Times New Roman" w:eastAsia="Times New Roman" w:hAnsi="Times New Roman" w:cs="Times New Roman"/>
                <w:i/>
              </w:rPr>
              <w:t>(лише якщо вартість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і тов</w:t>
            </w:r>
            <w:r>
              <w:rPr>
                <w:rFonts w:ascii="Times New Roman" w:eastAsia="Times New Roman" w:hAnsi="Times New Roman" w:cs="Times New Roman"/>
                <w:i/>
              </w:rPr>
              <w:t>ару (товарів), послуги (послуг) або робіт дорівнює чи перевищує 20 мільйонів гривень (у тому числі за лотом))</w:t>
            </w:r>
          </w:p>
          <w:p w:rsidR="009115CC" w:rsidRDefault="009115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9115CC" w:rsidRDefault="0035106F">
            <w:r>
              <w:rPr>
                <w:rFonts w:ascii="Times New Roman" w:eastAsia="Times New Roman" w:hAnsi="Times New Roman" w:cs="Times New Roman"/>
                <w:i/>
              </w:rPr>
              <w:t>(лише якщо вартість зак</w:t>
            </w:r>
            <w:r>
              <w:rPr>
                <w:rFonts w:ascii="Times New Roman" w:eastAsia="Times New Roman" w:hAnsi="Times New Roman" w:cs="Times New Roman"/>
                <w:i/>
              </w:rPr>
              <w:t>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і товару (товарів), послуги (послуг) або робіт дорівнює чи перевищує 20 мільйонів гривень (у тому числі за лотом))</w:t>
            </w:r>
          </w:p>
          <w:p w:rsidR="009115CC" w:rsidRDefault="009115CC">
            <w:pPr>
              <w:rPr>
                <w:rFonts w:ascii="Times New Roman" w:eastAsia="Times New Roman" w:hAnsi="Times New Roman" w:cs="Times New Roman"/>
              </w:rPr>
            </w:pPr>
          </w:p>
          <w:p w:rsidR="009115CC" w:rsidRDefault="0035106F">
            <w:r>
              <w:rPr>
                <w:rFonts w:ascii="Times New Roman" w:eastAsia="Times New Roman" w:hAnsi="Times New Roman" w:cs="Times New Roman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</w:t>
            </w:r>
            <w:r>
              <w:rPr>
                <w:rFonts w:ascii="Times New Roman" w:eastAsia="Times New Roman" w:hAnsi="Times New Roman" w:cs="Times New Roman"/>
              </w:rPr>
              <w:t>сцевого самоврядування, державні цільові фонди</w:t>
            </w:r>
          </w:p>
        </w:tc>
      </w:tr>
      <w:tr w:rsidR="009115CC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9115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>
              <w:rPr>
                <w:rFonts w:ascii="Times New Roman" w:eastAsia="Times New Roman" w:hAnsi="Times New Roman" w:cs="Times New Roman"/>
              </w:rPr>
              <w:t xml:space="preserve">пункт 11 частини 1 </w:t>
            </w:r>
            <w:r>
              <w:rPr>
                <w:rFonts w:ascii="Times New Roman" w:eastAsia="Times New Roman" w:hAnsi="Times New Roman" w:cs="Times New Roman"/>
              </w:rPr>
              <w:t>статті 17 Закону)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 xml:space="preserve">Замовник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іряє інформацію самостійно.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 xml:space="preserve">Замовник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іряє інформацію самостійно. 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ідтвердження своєї відповідності.</w:t>
            </w:r>
          </w:p>
        </w:tc>
      </w:tr>
      <w:tr w:rsidR="009115CC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і, яку уповноважено учасником представляти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>
              <w:rPr>
                <w:rFonts w:ascii="Times New Roman" w:eastAsia="Times New Roman" w:hAnsi="Times New Roman" w:cs="Times New Roman"/>
              </w:rPr>
              <w:t>пункт 1</w:t>
            </w:r>
            <w:r>
              <w:rPr>
                <w:rFonts w:ascii="Times New Roman" w:eastAsia="Times New Roman" w:hAnsi="Times New Roman" w:cs="Times New Roman"/>
              </w:rPr>
              <w:t>2 частини 1 статті 17 Закону)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 нада</w:t>
            </w:r>
            <w:r>
              <w:rPr>
                <w:rFonts w:ascii="Times New Roman" w:eastAsia="Times New Roman" w:hAnsi="Times New Roman" w:cs="Times New Roman"/>
              </w:rPr>
              <w:t>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службова (посадова) особа учасника процедури закупівлі, яку уповноважено учасником представляти йо</w:t>
            </w:r>
            <w:r>
              <w:rPr>
                <w:rFonts w:ascii="Times New Roman" w:eastAsia="Times New Roman" w:hAnsi="Times New Roman" w:cs="Times New Roman"/>
              </w:rPr>
              <w:t>го інтереси під час проведення процедури закупівлі / фізичну особу, яка є учасником до кримінальної відповідальності не притягується, незнятої чи непогашеної</w:t>
            </w:r>
          </w:p>
          <w:p w:rsidR="009115CC" w:rsidRDefault="0035106F">
            <w:r>
              <w:rPr>
                <w:rFonts w:ascii="Times New Roman" w:eastAsia="Times New Roman" w:hAnsi="Times New Roman" w:cs="Times New Roman"/>
              </w:rPr>
              <w:t>судимості не має та в розшуку не перебува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є.</w:t>
            </w:r>
            <w:proofErr w:type="gramEnd"/>
          </w:p>
        </w:tc>
      </w:tr>
      <w:tr w:rsidR="009115CC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і має заборгованість із с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>
              <w:rPr>
                <w:rFonts w:ascii="Times New Roman" w:eastAsia="Times New Roman" w:hAnsi="Times New Roman" w:cs="Times New Roman"/>
              </w:rPr>
              <w:t xml:space="preserve">пункт 13 частини 1 </w:t>
            </w:r>
            <w:r>
              <w:rPr>
                <w:rFonts w:ascii="Times New Roman" w:eastAsia="Times New Roman" w:hAnsi="Times New Roman" w:cs="Times New Roman"/>
              </w:rPr>
              <w:t>статті 17 Закону)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 xml:space="preserve">Замовник не вимагає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ідтвердження відповідно до пункту 44 Особливостей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 xml:space="preserve">Замовник не вимагає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ідтвердження відповідно до пункту 44 Особливостей</w:t>
            </w:r>
          </w:p>
        </w:tc>
      </w:tr>
      <w:tr w:rsidR="009115CC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Замовник може прийняти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ішення про відмову учаснику в участі у процедурі закупівлі та може </w:t>
            </w:r>
            <w:r>
              <w:rPr>
                <w:rFonts w:ascii="Times New Roman" w:eastAsia="Times New Roman" w:hAnsi="Times New Roman" w:cs="Times New Roman"/>
              </w:rPr>
              <w:t>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</w:t>
            </w:r>
            <w:r>
              <w:rPr>
                <w:rFonts w:ascii="Times New Roman" w:eastAsia="Times New Roman" w:hAnsi="Times New Roman" w:cs="Times New Roman"/>
              </w:rPr>
              <w:t>ді штрафі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/ або відшкодування збитків - протягом трьох років з дати дострокового розірвання такого договору.</w:t>
            </w:r>
          </w:p>
          <w:p w:rsidR="009115CC" w:rsidRDefault="0035106F">
            <w:pPr>
              <w:shd w:val="clear" w:color="auto" w:fill="FFFFFF"/>
              <w:spacing w:after="150"/>
            </w:pPr>
            <w:r>
              <w:rPr>
                <w:rFonts w:ascii="Times New Roman" w:eastAsia="Times New Roman" w:hAnsi="Times New Roman" w:cs="Times New Roman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і, що перебуває в обставинах, зазначених у частині другій цієї статті, може надати підтвердження вжиття заходів для д</w:t>
            </w:r>
            <w:r>
              <w:rPr>
                <w:rFonts w:ascii="Times New Roman" w:eastAsia="Times New Roman" w:hAnsi="Times New Roman" w:cs="Times New Roman"/>
              </w:rPr>
              <w:t>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</w:t>
            </w:r>
            <w:r>
              <w:rPr>
                <w:rFonts w:ascii="Times New Roman" w:eastAsia="Times New Roman" w:hAnsi="Times New Roman" w:cs="Times New Roman"/>
              </w:rPr>
              <w:t>я завданих збитків (частина 2 статті 17 Закону)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</w:t>
            </w:r>
            <w:r>
              <w:rPr>
                <w:rFonts w:ascii="Times New Roman" w:eastAsia="Times New Roman" w:hAnsi="Times New Roman" w:cs="Times New Roman"/>
              </w:rPr>
              <w:t>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 учасник має надати:</w:t>
            </w:r>
          </w:p>
          <w:p w:rsidR="009115CC" w:rsidRDefault="0035106F">
            <w:pPr>
              <w:numPr>
                <w:ilvl w:val="0"/>
                <w:numId w:val="1"/>
              </w:numPr>
              <w:ind w:left="4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довідку в довільній формі про те, що між ним і замовником раніше не було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укладено 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вого розірвання такого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договору;</w:t>
            </w:r>
          </w:p>
          <w:p w:rsidR="009115CC" w:rsidRDefault="0035106F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або </w:t>
            </w:r>
          </w:p>
          <w:p w:rsidR="009115CC" w:rsidRDefault="0035106F">
            <w:r>
              <w:rPr>
                <w:rFonts w:ascii="Times New Roman" w:eastAsia="Times New Roman" w:hAnsi="Times New Roman" w:cs="Times New Roman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</w:t>
            </w:r>
            <w:r>
              <w:rPr>
                <w:rFonts w:ascii="Times New Roman" w:eastAsia="Times New Roman" w:hAnsi="Times New Roman" w:cs="Times New Roman"/>
              </w:rPr>
              <w:t xml:space="preserve">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115CC" w:rsidRDefault="0035106F">
            <w:r>
              <w:rPr>
                <w:rFonts w:ascii="Times New Roman" w:eastAsia="Times New Roman" w:hAnsi="Times New Roman" w:cs="Times New Roman"/>
              </w:rPr>
              <w:lastRenderedPageBreak/>
              <w:t>Переможець надає довідку в довільній формі про те, що між ним і замовником не було уклад</w:t>
            </w:r>
            <w:r>
              <w:rPr>
                <w:rFonts w:ascii="Times New Roman" w:eastAsia="Times New Roman" w:hAnsi="Times New Roman" w:cs="Times New Roman"/>
              </w:rPr>
              <w:t>ено договору про закупівлю за яким 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</w:t>
            </w:r>
            <w:r>
              <w:rPr>
                <w:rFonts w:ascii="Times New Roman" w:eastAsia="Times New Roman" w:hAnsi="Times New Roman" w:cs="Times New Roman"/>
              </w:rPr>
              <w:t>го розірвання такого договору</w:t>
            </w:r>
          </w:p>
          <w:p w:rsidR="009115CC" w:rsidRDefault="009115CC">
            <w:pPr>
              <w:rPr>
                <w:rFonts w:ascii="Times New Roman" w:eastAsia="Times New Roman" w:hAnsi="Times New Roman" w:cs="Times New Roman"/>
              </w:rPr>
            </w:pPr>
          </w:p>
          <w:p w:rsidR="009115CC" w:rsidRDefault="0035106F">
            <w:r>
              <w:rPr>
                <w:rFonts w:ascii="Times New Roman" w:eastAsia="Times New Roman" w:hAnsi="Times New Roman" w:cs="Times New Roman"/>
              </w:rPr>
              <w:t>або</w:t>
            </w:r>
          </w:p>
          <w:p w:rsidR="009115CC" w:rsidRDefault="009115CC">
            <w:pPr>
              <w:rPr>
                <w:rFonts w:ascii="Times New Roman" w:eastAsia="Times New Roman" w:hAnsi="Times New Roman" w:cs="Times New Roman"/>
              </w:rPr>
            </w:pPr>
          </w:p>
          <w:p w:rsidR="009115CC" w:rsidRDefault="0035106F">
            <w:r>
              <w:rPr>
                <w:rFonts w:ascii="Times New Roman" w:eastAsia="Times New Roman" w:hAnsi="Times New Roman" w:cs="Times New Roman"/>
              </w:rPr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</w:t>
            </w:r>
            <w:r>
              <w:rPr>
                <w:rFonts w:ascii="Times New Roman" w:eastAsia="Times New Roman" w:hAnsi="Times New Roman" w:cs="Times New Roman"/>
              </w:rPr>
              <w:t>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9115CC" w:rsidRDefault="009115CC"/>
    <w:p w:rsidR="009115CC" w:rsidRDefault="0035106F">
      <w:pPr>
        <w:spacing w:after="0" w:line="240" w:lineRule="auto"/>
        <w:ind w:left="-99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ВАЖЛИВО!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Фізична особа-підприємець, яка на умовах трудового договору наймає працівник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ів для сприяння йому у здійсненні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ідприємницької діяльності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 службова (посадова) особа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 Фізична особа-підприємець, яка НЕ наймає працівників на умовах трудового договору для сприяння йому у здійсненні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ідприємницької діяльності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 фізична особа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(від</w:t>
      </w:r>
      <w:r>
        <w:rPr>
          <w:rFonts w:ascii="Times New Roman" w:eastAsia="Times New Roman" w:hAnsi="Times New Roman" w:cs="Times New Roman"/>
          <w:sz w:val="24"/>
          <w:szCs w:val="24"/>
        </w:rPr>
        <w:t>повідно до листа Міністерства юстиції України від 03.11.2006 № 22-48-548).</w:t>
      </w:r>
    </w:p>
    <w:p w:rsidR="009115CC" w:rsidRDefault="009115CC">
      <w:pPr>
        <w:spacing w:after="0"/>
        <w:ind w:left="-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5CC" w:rsidRDefault="0035106F">
      <w:pPr>
        <w:ind w:left="-99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 разі якщо 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і не надав у спосіб, зазначений в тендерній документації, документи, що підтверджують відсутність підстав, установлених статтею 17 Закону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 надав документи,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ідпункту 3 пункту 41 Особливостей, а саме: переможець процедури заку</w:t>
      </w:r>
      <w:r>
        <w:rPr>
          <w:rFonts w:ascii="Times New Roman" w:eastAsia="Times New Roman" w:hAnsi="Times New Roman" w:cs="Times New Roman"/>
          <w:sz w:val="24"/>
          <w:szCs w:val="24"/>
        </w:rPr>
        <w:t>півлі не надав у спосіб, зазначений в тендерній документації, документи, що підтверджують відсутність підстав, установлених статтею 17 Закону, з урахуванням пункту 44 особливостей.</w:t>
      </w:r>
    </w:p>
    <w:p w:rsidR="009115CC" w:rsidRPr="0035106F" w:rsidRDefault="0035106F" w:rsidP="0035106F">
      <w:pPr>
        <w:ind w:left="-99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разі коли учасник процедури закупівлі має намір залучити інших суб’єктів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господарювання як субпідрядників/співвиконавців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учасник у складі тендерної пропозиції надає довідку у довільній формі 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ідтвердження відсутності підстав передбачених пунктами 2, 3, 5, 6, 8, 9, 10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(якщо вартість закупівлі дорівнює чи перевищує 20 мільйонів гривень (у тому числі за лотом)) </w:t>
      </w:r>
      <w:r>
        <w:rPr>
          <w:rFonts w:ascii="Times New Roman" w:eastAsia="Times New Roman" w:hAnsi="Times New Roman" w:cs="Times New Roman"/>
          <w:sz w:val="24"/>
          <w:szCs w:val="24"/>
        </w:rPr>
        <w:t>та 12 частини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статті 17 Закону, так як на момент оприлюднення оголошення про проведення відкритих торгів доступ до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єдиних державних реєстрах, доступ до яких є вільним, або публічної інформації, що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доступною в електронній системі закупівель є обмеженим (вимога встановлена відповідно до пункту 44 Особливостей.</w:t>
      </w:r>
      <w:proofErr w:type="gramEnd"/>
    </w:p>
    <w:p w:rsidR="009115CC" w:rsidRDefault="009115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5CC" w:rsidRDefault="009115CC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115CC">
      <w:pgSz w:w="11906" w:h="16838"/>
      <w:pgMar w:top="850" w:right="850" w:bottom="850" w:left="1417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3B7F"/>
    <w:multiLevelType w:val="multilevel"/>
    <w:tmpl w:val="4EC682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ED6A07"/>
    <w:multiLevelType w:val="multilevel"/>
    <w:tmpl w:val="98D838A6"/>
    <w:lvl w:ilvl="0">
      <w:start w:val="1"/>
      <w:numFmt w:val="bullet"/>
      <w:lvlText w:val="▪"/>
      <w:lvlJc w:val="left"/>
      <w:pPr>
        <w:ind w:left="720" w:hanging="360"/>
      </w:pPr>
      <w:rPr>
        <w:rFonts w:ascii="Noto Sans" w:hAnsi="Noto Sans" w:cs="Noto San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hAnsi="Noto Sans" w:cs="Noto San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hAnsi="Noto Sans" w:cs="Noto San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hAnsi="Noto Sans" w:cs="Noto San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15CC"/>
    <w:rsid w:val="0015709A"/>
    <w:rsid w:val="0035106F"/>
    <w:rsid w:val="0091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qFormat/>
    <w:pPr>
      <w:keepNext/>
      <w:keepLines/>
      <w:widowControl w:val="0"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widowControl w:val="0"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widowControl w:val="0"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widowControl w:val="0"/>
      <w:spacing w:before="240" w:after="40" w:line="240" w:lineRule="auto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widowControl w:val="0"/>
      <w:spacing w:before="220" w:after="40" w:line="240" w:lineRule="auto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widowControl w:val="0"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character" w:customStyle="1" w:styleId="ListLabel94">
    <w:name w:val="ListLabel 94"/>
    <w:qFormat/>
    <w:rPr>
      <w:rFonts w:ascii="Times New Roman" w:eastAsia="Noto Sans" w:hAnsi="Times New Roman" w:cs="Noto Sans"/>
      <w:sz w:val="24"/>
    </w:rPr>
  </w:style>
  <w:style w:type="character" w:customStyle="1" w:styleId="ListLabel95">
    <w:name w:val="ListLabel 95"/>
    <w:qFormat/>
    <w:rPr>
      <w:rFonts w:eastAsia="Courier New" w:cs="Courier New"/>
    </w:rPr>
  </w:style>
  <w:style w:type="character" w:customStyle="1" w:styleId="ListLabel96">
    <w:name w:val="ListLabel 96"/>
    <w:qFormat/>
    <w:rPr>
      <w:rFonts w:eastAsia="Noto Sans" w:cs="Noto Sans"/>
    </w:rPr>
  </w:style>
  <w:style w:type="character" w:customStyle="1" w:styleId="ListLabel97">
    <w:name w:val="ListLabel 97"/>
    <w:qFormat/>
    <w:rPr>
      <w:rFonts w:eastAsia="Noto Sans" w:cs="Noto Sans"/>
    </w:rPr>
  </w:style>
  <w:style w:type="character" w:customStyle="1" w:styleId="ListLabel98">
    <w:name w:val="ListLabel 98"/>
    <w:qFormat/>
    <w:rPr>
      <w:rFonts w:eastAsia="Courier New" w:cs="Courier New"/>
    </w:rPr>
  </w:style>
  <w:style w:type="character" w:customStyle="1" w:styleId="ListLabel99">
    <w:name w:val="ListLabel 99"/>
    <w:qFormat/>
    <w:rPr>
      <w:rFonts w:eastAsia="Noto Sans" w:cs="Noto Sans"/>
    </w:rPr>
  </w:style>
  <w:style w:type="character" w:customStyle="1" w:styleId="ListLabel100">
    <w:name w:val="ListLabel 100"/>
    <w:qFormat/>
    <w:rPr>
      <w:rFonts w:eastAsia="Noto Sans" w:cs="Noto Sans"/>
    </w:rPr>
  </w:style>
  <w:style w:type="character" w:customStyle="1" w:styleId="ListLabel101">
    <w:name w:val="ListLabel 101"/>
    <w:qFormat/>
    <w:rPr>
      <w:rFonts w:eastAsia="Courier New" w:cs="Courier New"/>
    </w:rPr>
  </w:style>
  <w:style w:type="character" w:customStyle="1" w:styleId="ListLabel102">
    <w:name w:val="ListLabel 102"/>
    <w:qFormat/>
    <w:rPr>
      <w:rFonts w:eastAsia="Noto Sans" w:cs="Noto Sans"/>
    </w:rPr>
  </w:style>
  <w:style w:type="character" w:customStyle="1" w:styleId="ListLabel103">
    <w:name w:val="ListLabel 103"/>
    <w:qFormat/>
    <w:rPr>
      <w:rFonts w:cs="Noto Sans"/>
      <w:sz w:val="22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Noto Sans"/>
    </w:rPr>
  </w:style>
  <w:style w:type="character" w:customStyle="1" w:styleId="ListLabel106">
    <w:name w:val="ListLabel 106"/>
    <w:qFormat/>
    <w:rPr>
      <w:rFonts w:cs="Noto Sans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Noto Sans"/>
    </w:rPr>
  </w:style>
  <w:style w:type="character" w:customStyle="1" w:styleId="ListLabel109">
    <w:name w:val="ListLabel 109"/>
    <w:qFormat/>
    <w:rPr>
      <w:rFonts w:cs="Noto San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Noto Sans"/>
    </w:rPr>
  </w:style>
  <w:style w:type="character" w:customStyle="1" w:styleId="ListLabel112">
    <w:name w:val="ListLabel 112"/>
    <w:qFormat/>
    <w:rPr>
      <w:rFonts w:cs="Noto Sans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Noto Sans"/>
    </w:rPr>
  </w:style>
  <w:style w:type="character" w:customStyle="1" w:styleId="ListLabel115">
    <w:name w:val="ListLabel 115"/>
    <w:qFormat/>
    <w:rPr>
      <w:rFonts w:cs="Noto San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Noto Sans"/>
    </w:rPr>
  </w:style>
  <w:style w:type="character" w:customStyle="1" w:styleId="ListLabel118">
    <w:name w:val="ListLabel 118"/>
    <w:qFormat/>
    <w:rPr>
      <w:rFonts w:cs="Noto San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Noto Sans"/>
    </w:rPr>
  </w:style>
  <w:style w:type="character" w:customStyle="1" w:styleId="ListLabel121">
    <w:name w:val="ListLabel 121"/>
    <w:qFormat/>
    <w:rPr>
      <w:rFonts w:cs="Noto Sans"/>
      <w:sz w:val="22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Noto Sans"/>
    </w:rPr>
  </w:style>
  <w:style w:type="character" w:customStyle="1" w:styleId="ListLabel124">
    <w:name w:val="ListLabel 124"/>
    <w:qFormat/>
    <w:rPr>
      <w:rFonts w:cs="Noto Sans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Noto Sans"/>
    </w:rPr>
  </w:style>
  <w:style w:type="character" w:customStyle="1" w:styleId="ListLabel127">
    <w:name w:val="ListLabel 127"/>
    <w:qFormat/>
    <w:rPr>
      <w:rFonts w:cs="Noto Sans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Noto San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a8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b">
    <w:name w:val="Subtitle"/>
    <w:basedOn w:val="LO-normal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qFormat/>
    <w:pPr>
      <w:keepNext/>
      <w:keepLines/>
      <w:widowControl w:val="0"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widowControl w:val="0"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widowControl w:val="0"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widowControl w:val="0"/>
      <w:spacing w:before="240" w:after="40" w:line="240" w:lineRule="auto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widowControl w:val="0"/>
      <w:spacing w:before="220" w:after="40" w:line="240" w:lineRule="auto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widowControl w:val="0"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character" w:customStyle="1" w:styleId="ListLabel94">
    <w:name w:val="ListLabel 94"/>
    <w:qFormat/>
    <w:rPr>
      <w:rFonts w:ascii="Times New Roman" w:eastAsia="Noto Sans" w:hAnsi="Times New Roman" w:cs="Noto Sans"/>
      <w:sz w:val="24"/>
    </w:rPr>
  </w:style>
  <w:style w:type="character" w:customStyle="1" w:styleId="ListLabel95">
    <w:name w:val="ListLabel 95"/>
    <w:qFormat/>
    <w:rPr>
      <w:rFonts w:eastAsia="Courier New" w:cs="Courier New"/>
    </w:rPr>
  </w:style>
  <w:style w:type="character" w:customStyle="1" w:styleId="ListLabel96">
    <w:name w:val="ListLabel 96"/>
    <w:qFormat/>
    <w:rPr>
      <w:rFonts w:eastAsia="Noto Sans" w:cs="Noto Sans"/>
    </w:rPr>
  </w:style>
  <w:style w:type="character" w:customStyle="1" w:styleId="ListLabel97">
    <w:name w:val="ListLabel 97"/>
    <w:qFormat/>
    <w:rPr>
      <w:rFonts w:eastAsia="Noto Sans" w:cs="Noto Sans"/>
    </w:rPr>
  </w:style>
  <w:style w:type="character" w:customStyle="1" w:styleId="ListLabel98">
    <w:name w:val="ListLabel 98"/>
    <w:qFormat/>
    <w:rPr>
      <w:rFonts w:eastAsia="Courier New" w:cs="Courier New"/>
    </w:rPr>
  </w:style>
  <w:style w:type="character" w:customStyle="1" w:styleId="ListLabel99">
    <w:name w:val="ListLabel 99"/>
    <w:qFormat/>
    <w:rPr>
      <w:rFonts w:eastAsia="Noto Sans" w:cs="Noto Sans"/>
    </w:rPr>
  </w:style>
  <w:style w:type="character" w:customStyle="1" w:styleId="ListLabel100">
    <w:name w:val="ListLabel 100"/>
    <w:qFormat/>
    <w:rPr>
      <w:rFonts w:eastAsia="Noto Sans" w:cs="Noto Sans"/>
    </w:rPr>
  </w:style>
  <w:style w:type="character" w:customStyle="1" w:styleId="ListLabel101">
    <w:name w:val="ListLabel 101"/>
    <w:qFormat/>
    <w:rPr>
      <w:rFonts w:eastAsia="Courier New" w:cs="Courier New"/>
    </w:rPr>
  </w:style>
  <w:style w:type="character" w:customStyle="1" w:styleId="ListLabel102">
    <w:name w:val="ListLabel 102"/>
    <w:qFormat/>
    <w:rPr>
      <w:rFonts w:eastAsia="Noto Sans" w:cs="Noto Sans"/>
    </w:rPr>
  </w:style>
  <w:style w:type="character" w:customStyle="1" w:styleId="ListLabel103">
    <w:name w:val="ListLabel 103"/>
    <w:qFormat/>
    <w:rPr>
      <w:rFonts w:cs="Noto Sans"/>
      <w:sz w:val="22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Noto Sans"/>
    </w:rPr>
  </w:style>
  <w:style w:type="character" w:customStyle="1" w:styleId="ListLabel106">
    <w:name w:val="ListLabel 106"/>
    <w:qFormat/>
    <w:rPr>
      <w:rFonts w:cs="Noto Sans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Noto Sans"/>
    </w:rPr>
  </w:style>
  <w:style w:type="character" w:customStyle="1" w:styleId="ListLabel109">
    <w:name w:val="ListLabel 109"/>
    <w:qFormat/>
    <w:rPr>
      <w:rFonts w:cs="Noto San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Noto Sans"/>
    </w:rPr>
  </w:style>
  <w:style w:type="character" w:customStyle="1" w:styleId="ListLabel112">
    <w:name w:val="ListLabel 112"/>
    <w:qFormat/>
    <w:rPr>
      <w:rFonts w:cs="Noto Sans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Noto Sans"/>
    </w:rPr>
  </w:style>
  <w:style w:type="character" w:customStyle="1" w:styleId="ListLabel115">
    <w:name w:val="ListLabel 115"/>
    <w:qFormat/>
    <w:rPr>
      <w:rFonts w:cs="Noto San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Noto Sans"/>
    </w:rPr>
  </w:style>
  <w:style w:type="character" w:customStyle="1" w:styleId="ListLabel118">
    <w:name w:val="ListLabel 118"/>
    <w:qFormat/>
    <w:rPr>
      <w:rFonts w:cs="Noto San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Noto Sans"/>
    </w:rPr>
  </w:style>
  <w:style w:type="character" w:customStyle="1" w:styleId="ListLabel121">
    <w:name w:val="ListLabel 121"/>
    <w:qFormat/>
    <w:rPr>
      <w:rFonts w:cs="Noto Sans"/>
      <w:sz w:val="22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Noto Sans"/>
    </w:rPr>
  </w:style>
  <w:style w:type="character" w:customStyle="1" w:styleId="ListLabel124">
    <w:name w:val="ListLabel 124"/>
    <w:qFormat/>
    <w:rPr>
      <w:rFonts w:cs="Noto Sans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Noto Sans"/>
    </w:rPr>
  </w:style>
  <w:style w:type="character" w:customStyle="1" w:styleId="ListLabel127">
    <w:name w:val="ListLabel 127"/>
    <w:qFormat/>
    <w:rPr>
      <w:rFonts w:cs="Noto Sans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Noto San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a8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b">
    <w:name w:val="Subtitle"/>
    <w:basedOn w:val="LO-normal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RCnBnaeyuPAuMXC5XyLMhmRdj1g==">AMUW2mXssSD0f+S3D0DXjk3JnN7Z76ptcyJgAS5VvIN9jRtaRkPLXq2xljQhQckYh9dYD1AXtI/0dGBy7j9ghHYbzNry9h3npg4aDHOIsMTPN9ZcgCEQmzF8IPcpC08+wxgOPJAyk8Fn7+VozIXLzNhjTJ3RSdM1m9U+HzVRXgNe+3TDppCFygSqkr1uiOY55dBs9Fd0lWbchesvhHAQLdCXQSrXO03wnA==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3</cp:revision>
  <dcterms:created xsi:type="dcterms:W3CDTF">2023-02-06T10:42:00Z</dcterms:created>
  <dcterms:modified xsi:type="dcterms:W3CDTF">2023-02-06T10:43:00Z</dcterms:modified>
  <dc:language>uk-UA</dc:language>
</cp:coreProperties>
</file>