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5260BD">
                    <w:rPr>
                      <w:rFonts w:ascii="Times New Roman" w:hAnsi="Times New Roman"/>
                      <w:b/>
                      <w:bCs/>
                      <w:noProof/>
                      <w:sz w:val="28"/>
                    </w:rPr>
                    <w:t>90</w:t>
                  </w:r>
                  <w:r w:rsidR="00F94C03">
                    <w:rPr>
                      <w:rFonts w:ascii="Times New Roman" w:hAnsi="Times New Roman"/>
                      <w:b/>
                      <w:bCs/>
                      <w:noProof/>
                      <w:sz w:val="28"/>
                    </w:rPr>
                    <w:t xml:space="preserve"> </w:t>
                  </w:r>
                  <w:r w:rsidRPr="00C110FB">
                    <w:rPr>
                      <w:rFonts w:ascii="Times New Roman" w:hAnsi="Times New Roman"/>
                      <w:b/>
                      <w:bCs/>
                      <w:noProof/>
                      <w:sz w:val="28"/>
                    </w:rPr>
                    <w:t>від «</w:t>
                  </w:r>
                  <w:r w:rsidR="005260BD">
                    <w:rPr>
                      <w:rFonts w:ascii="Times New Roman" w:hAnsi="Times New Roman"/>
                      <w:b/>
                      <w:bCs/>
                      <w:noProof/>
                      <w:sz w:val="28"/>
                    </w:rPr>
                    <w:t>18</w:t>
                  </w:r>
                  <w:r w:rsidRPr="00C110FB">
                    <w:rPr>
                      <w:rFonts w:ascii="Times New Roman" w:hAnsi="Times New Roman"/>
                      <w:b/>
                      <w:bCs/>
                      <w:noProof/>
                      <w:sz w:val="28"/>
                    </w:rPr>
                    <w:t>»</w:t>
                  </w:r>
                  <w:r w:rsidR="009D7209">
                    <w:rPr>
                      <w:rFonts w:ascii="Times New Roman" w:hAnsi="Times New Roman"/>
                      <w:b/>
                      <w:bCs/>
                      <w:noProof/>
                      <w:sz w:val="28"/>
                    </w:rPr>
                    <w:t xml:space="preserve"> </w:t>
                  </w:r>
                  <w:r w:rsidR="005260BD">
                    <w:rPr>
                      <w:rFonts w:ascii="Times New Roman" w:hAnsi="Times New Roman"/>
                      <w:b/>
                      <w:bCs/>
                      <w:noProof/>
                      <w:sz w:val="28"/>
                      <w:lang w:val="uk-UA"/>
                    </w:rPr>
                    <w:t>березня</w:t>
                  </w:r>
                  <w:r w:rsidR="00D047F2">
                    <w:rPr>
                      <w:rFonts w:ascii="Times New Roman" w:hAnsi="Times New Roman"/>
                      <w:b/>
                      <w:bCs/>
                      <w:noProof/>
                      <w:sz w:val="28"/>
                      <w:lang w:val="uk-UA"/>
                    </w:rPr>
                    <w:t xml:space="preserve"> </w:t>
                  </w:r>
                  <w:r w:rsidRPr="00C110FB">
                    <w:rPr>
                      <w:rFonts w:ascii="Times New Roman" w:hAnsi="Times New Roman"/>
                      <w:b/>
                      <w:bCs/>
                      <w:noProof/>
                      <w:sz w:val="28"/>
                    </w:rPr>
                    <w:t>202</w:t>
                  </w:r>
                  <w:r w:rsidR="009D7209">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91E24" w:rsidRPr="00E869CD" w:rsidRDefault="00891E24" w:rsidP="00891E24">
      <w:pPr>
        <w:widowControl w:val="0"/>
        <w:suppressAutoHyphens/>
        <w:autoSpaceDE w:val="0"/>
        <w:jc w:val="center"/>
        <w:rPr>
          <w:rFonts w:ascii="Times New Roman" w:hAnsi="Times New Roman"/>
          <w:b/>
          <w:sz w:val="32"/>
          <w:szCs w:val="32"/>
          <w:lang w:val="ru-RU" w:bidi="en-US"/>
        </w:rPr>
      </w:pPr>
      <w:r w:rsidRPr="00E869CD">
        <w:rPr>
          <w:rFonts w:ascii="Times New Roman" w:hAnsi="Times New Roman"/>
          <w:b/>
          <w:sz w:val="32"/>
          <w:szCs w:val="32"/>
          <w:lang w:val="ru-RU" w:bidi="en-US"/>
        </w:rPr>
        <w:t>03220000-9 Овочі, фрукти та горіхи</w:t>
      </w:r>
    </w:p>
    <w:p w:rsidR="00891E24" w:rsidRPr="00E869CD" w:rsidRDefault="005260BD" w:rsidP="00891E24">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sz w:val="32"/>
          <w:szCs w:val="32"/>
          <w:lang w:val="ru-RU" w:bidi="en-US"/>
        </w:rPr>
        <w:t>(</w:t>
      </w:r>
      <w:r w:rsidR="00F20913" w:rsidRPr="0040131F">
        <w:rPr>
          <w:rFonts w:ascii="Times New Roman" w:hAnsi="Times New Roman"/>
          <w:b/>
          <w:sz w:val="32"/>
          <w:szCs w:val="32"/>
          <w:lang w:val="ru-RU" w:bidi="en-US"/>
        </w:rPr>
        <w:t>Овочі</w:t>
      </w:r>
      <w:r>
        <w:rPr>
          <w:rFonts w:ascii="Times New Roman" w:hAnsi="Times New Roman"/>
          <w:b/>
          <w:sz w:val="32"/>
          <w:szCs w:val="32"/>
          <w:lang w:val="ru-RU" w:bidi="en-US"/>
        </w:rPr>
        <w:t xml:space="preserve">, фрукти </w:t>
      </w:r>
      <w:r w:rsidR="00891E24">
        <w:rPr>
          <w:rFonts w:ascii="Times New Roman" w:hAnsi="Times New Roman"/>
          <w:b/>
          <w:sz w:val="32"/>
          <w:szCs w:val="32"/>
          <w:lang w:val="ru-RU" w:bidi="en-US"/>
        </w:rPr>
        <w:t>свіжі</w:t>
      </w:r>
      <w:r>
        <w:rPr>
          <w:rFonts w:ascii="Times New Roman" w:hAnsi="Times New Roman"/>
          <w:b/>
          <w:sz w:val="32"/>
          <w:szCs w:val="32"/>
          <w:lang w:val="ru-RU" w:bidi="en-US"/>
        </w:rPr>
        <w:t>)</w:t>
      </w:r>
      <w:r w:rsidR="00E223B1" w:rsidRPr="00E223B1">
        <w:rPr>
          <w:rFonts w:ascii="Times New Roman" w:hAnsi="Times New Roman"/>
          <w:b/>
          <w:sz w:val="32"/>
          <w:szCs w:val="32"/>
          <w:lang w:val="ru-RU" w:bidi="en-US"/>
        </w:rPr>
        <w:t xml:space="preserve"> </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9D7209">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5260BD"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BE58CC"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5260BD"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5260BD">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5260BD">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 xml:space="preserve"> район Вінницька область</w:t>
            </w:r>
          </w:p>
        </w:tc>
      </w:tr>
      <w:tr w:rsidR="00FC2523" w:rsidRPr="005260BD"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5260BD"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5260BD"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5260BD" w:rsidP="005260BD">
            <w:pPr>
              <w:widowControl w:val="0"/>
              <w:ind w:firstLine="318"/>
              <w:rPr>
                <w:rFonts w:ascii="Times New Roman" w:hAnsi="Times New Roman"/>
                <w:sz w:val="20"/>
                <w:szCs w:val="20"/>
                <w:lang w:val="uk-UA"/>
              </w:rPr>
            </w:pPr>
            <w:r>
              <w:rPr>
                <w:rFonts w:ascii="Times New Roman" w:hAnsi="Times New Roman"/>
                <w:b/>
                <w:sz w:val="20"/>
                <w:szCs w:val="20"/>
                <w:lang w:val="ru-RU"/>
              </w:rPr>
              <w:t>79</w:t>
            </w:r>
            <w:r w:rsidR="00F20913">
              <w:rPr>
                <w:rFonts w:ascii="Times New Roman" w:hAnsi="Times New Roman"/>
                <w:b/>
                <w:sz w:val="20"/>
                <w:szCs w:val="20"/>
                <w:lang w:val="ru-RU"/>
              </w:rPr>
              <w:t>00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Сім</w:t>
            </w:r>
            <w:r w:rsidR="0040131F" w:rsidRPr="0040131F">
              <w:rPr>
                <w:rFonts w:ascii="Times New Roman" w:hAnsi="Times New Roman"/>
                <w:sz w:val="20"/>
                <w:szCs w:val="20"/>
                <w:lang w:val="ru-RU"/>
              </w:rPr>
              <w:t xml:space="preserve"> </w:t>
            </w:r>
            <w:r w:rsidR="006B663F">
              <w:rPr>
                <w:rFonts w:ascii="Times New Roman" w:hAnsi="Times New Roman"/>
                <w:sz w:val="20"/>
                <w:szCs w:val="20"/>
                <w:lang w:val="uk-UA"/>
              </w:rPr>
              <w:t xml:space="preserve"> </w:t>
            </w:r>
            <w:r w:rsidR="00FC2523">
              <w:rPr>
                <w:rFonts w:ascii="Times New Roman" w:hAnsi="Times New Roman"/>
                <w:sz w:val="20"/>
                <w:szCs w:val="20"/>
                <w:lang w:val="uk-UA"/>
              </w:rPr>
              <w:t>тисяч</w:t>
            </w:r>
            <w:r w:rsidR="00F20913">
              <w:rPr>
                <w:rFonts w:ascii="Times New Roman" w:hAnsi="Times New Roman"/>
                <w:sz w:val="20"/>
                <w:szCs w:val="20"/>
                <w:lang w:val="uk-UA"/>
              </w:rPr>
              <w:t xml:space="preserve"> </w:t>
            </w:r>
            <w:r>
              <w:rPr>
                <w:rFonts w:ascii="Times New Roman" w:hAnsi="Times New Roman"/>
                <w:sz w:val="20"/>
                <w:szCs w:val="20"/>
                <w:lang w:val="uk-UA"/>
              </w:rPr>
              <w:t>девятсот</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91E24" w:rsidRPr="002C74E2" w:rsidTr="00152E40">
        <w:trPr>
          <w:trHeight w:val="520"/>
          <w:jc w:val="center"/>
        </w:trPr>
        <w:tc>
          <w:tcPr>
            <w:tcW w:w="763" w:type="dxa"/>
            <w:tcMar>
              <w:left w:w="103" w:type="dxa"/>
            </w:tcMar>
          </w:tcPr>
          <w:p w:rsidR="00891E24" w:rsidRPr="00854729" w:rsidRDefault="00891E2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91E24" w:rsidRPr="000A7B57" w:rsidRDefault="00891E2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91E24" w:rsidRDefault="00891E24" w:rsidP="0053335E">
            <w:pPr>
              <w:widowControl w:val="0"/>
              <w:suppressAutoHyphens/>
              <w:autoSpaceDE w:val="0"/>
              <w:jc w:val="center"/>
              <w:rPr>
                <w:rFonts w:ascii="Times New Roman" w:hAnsi="Times New Roman"/>
                <w:lang w:val="ru-RU" w:bidi="en-US"/>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Pr>
                <w:rFonts w:ascii="Times New Roman" w:hAnsi="Times New Roman"/>
                <w:lang w:val="ru-RU" w:bidi="en-US"/>
              </w:rPr>
              <w:t>03220000-9 Овочі, фрукти та горіхи</w:t>
            </w:r>
          </w:p>
          <w:p w:rsidR="00891E24" w:rsidRPr="0024511C" w:rsidRDefault="00F20913" w:rsidP="005260BD">
            <w:pPr>
              <w:widowControl w:val="0"/>
              <w:suppressAutoHyphens/>
              <w:autoSpaceDE w:val="0"/>
              <w:jc w:val="center"/>
              <w:rPr>
                <w:rFonts w:ascii="Times New Roman" w:hAnsi="Times New Roman"/>
                <w:b/>
                <w:bCs/>
                <w:lang w:val="ru-RU"/>
              </w:rPr>
            </w:pPr>
            <w:r>
              <w:rPr>
                <w:rFonts w:ascii="Times New Roman" w:hAnsi="Times New Roman"/>
                <w:lang w:val="ru-RU" w:bidi="en-US"/>
              </w:rPr>
              <w:t>Овочі</w:t>
            </w:r>
            <w:r w:rsidR="005260BD">
              <w:rPr>
                <w:rFonts w:ascii="Times New Roman" w:hAnsi="Times New Roman"/>
                <w:lang w:val="ru-RU" w:bidi="en-US"/>
              </w:rPr>
              <w:t xml:space="preserve">, фрукти </w:t>
            </w:r>
            <w:r w:rsidR="00891E24">
              <w:rPr>
                <w:rFonts w:ascii="Times New Roman" w:hAnsi="Times New Roman"/>
                <w:lang w:val="ru-RU" w:bidi="en-US"/>
              </w:rPr>
              <w:t>свіжі</w:t>
            </w:r>
            <w:r>
              <w:rPr>
                <w:rFonts w:ascii="Times New Roman" w:hAnsi="Times New Roman"/>
                <w:lang w:val="ru-RU" w:bidi="en-US"/>
              </w:rPr>
              <w:t xml:space="preserve"> </w:t>
            </w:r>
          </w:p>
        </w:tc>
      </w:tr>
      <w:tr w:rsidR="0034640C" w:rsidRPr="005260BD"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5260BD">
              <w:rPr>
                <w:rFonts w:ascii="Times New Roman" w:hAnsi="Times New Roman"/>
                <w:b/>
                <w:color w:val="000000"/>
                <w:lang w:val="ru-RU" w:eastAsia="ru-RU"/>
              </w:rPr>
              <w:t xml:space="preserve">ульчинський </w:t>
            </w:r>
            <w:r w:rsidRPr="000C1896">
              <w:rPr>
                <w:rFonts w:ascii="Times New Roman" w:hAnsi="Times New Roman"/>
                <w:b/>
                <w:color w:val="000000"/>
                <w:lang w:val="ru-RU" w:eastAsia="ru-RU"/>
              </w:rPr>
              <w:t>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5260BD"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5260BD"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5260BD"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5260BD"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5260BD"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5260BD"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F20913">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D047F2">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5260BD"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D047F2">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D047F2">
              <w:rPr>
                <w:rFonts w:ascii="Times New Roman" w:hAnsi="Times New Roman"/>
                <w:lang w:val="uk-UA"/>
              </w:rPr>
              <w:t>7</w:t>
            </w:r>
            <w:r>
              <w:rPr>
                <w:rFonts w:ascii="Times New Roman" w:hAnsi="Times New Roman"/>
                <w:lang w:val="uk-UA"/>
              </w:rPr>
              <w:t xml:space="preserve">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5260BD"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5260BD"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5260BD"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40131F">
              <w:rPr>
                <w:rFonts w:ascii="Times New Roman" w:hAnsi="Times New Roman"/>
                <w:sz w:val="20"/>
                <w:szCs w:val="20"/>
                <w:highlight w:val="yellow"/>
                <w:lang w:val="ru-RU"/>
              </w:rPr>
              <w:t>2</w:t>
            </w:r>
            <w:r w:rsidR="005260BD">
              <w:rPr>
                <w:rFonts w:ascii="Times New Roman" w:hAnsi="Times New Roman"/>
                <w:sz w:val="20"/>
                <w:szCs w:val="20"/>
                <w:highlight w:val="yellow"/>
                <w:lang w:val="ru-RU"/>
              </w:rPr>
              <w:t>6</w:t>
            </w:r>
            <w:r w:rsidRPr="004A714B">
              <w:rPr>
                <w:rFonts w:ascii="Times New Roman" w:hAnsi="Times New Roman"/>
                <w:sz w:val="20"/>
                <w:szCs w:val="20"/>
                <w:highlight w:val="yellow"/>
                <w:lang w:val="ru-RU"/>
              </w:rPr>
              <w:t>.</w:t>
            </w:r>
            <w:r w:rsidR="009D7209">
              <w:rPr>
                <w:rFonts w:ascii="Times New Roman" w:hAnsi="Times New Roman"/>
                <w:sz w:val="20"/>
                <w:szCs w:val="20"/>
                <w:highlight w:val="yellow"/>
                <w:lang w:val="ru-RU"/>
              </w:rPr>
              <w:t>0</w:t>
            </w:r>
            <w:r w:rsidR="005260BD">
              <w:rPr>
                <w:rFonts w:ascii="Times New Roman" w:hAnsi="Times New Roman"/>
                <w:sz w:val="20"/>
                <w:szCs w:val="20"/>
                <w:highlight w:val="yellow"/>
                <w:lang w:val="ru-RU"/>
              </w:rPr>
              <w:t>3</w:t>
            </w:r>
            <w:r w:rsidRPr="004A714B">
              <w:rPr>
                <w:rFonts w:ascii="Times New Roman" w:hAnsi="Times New Roman"/>
                <w:sz w:val="20"/>
                <w:szCs w:val="20"/>
                <w:highlight w:val="yellow"/>
                <w:lang w:val="ru-RU"/>
              </w:rPr>
              <w:t>.202</w:t>
            </w:r>
            <w:r w:rsidR="009D7209">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5260BD"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BE58CC"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085775" w:rsidRPr="00085775">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5260BD"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5260BD"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5260B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5260BD"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5260BD"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D047F2">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D047F2">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8"/>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AB" w:rsidRDefault="00211EAB">
      <w:r>
        <w:separator/>
      </w:r>
    </w:p>
  </w:endnote>
  <w:endnote w:type="continuationSeparator" w:id="1">
    <w:p w:rsidR="00211EAB" w:rsidRDefault="0021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AB" w:rsidRDefault="00211EAB">
      <w:r>
        <w:separator/>
      </w:r>
    </w:p>
  </w:footnote>
  <w:footnote w:type="continuationSeparator" w:id="1">
    <w:p w:rsidR="00211EAB" w:rsidRDefault="0021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BE58CC">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5260BD">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2B17"/>
    <w:rsid w:val="00027BB9"/>
    <w:rsid w:val="00040BB2"/>
    <w:rsid w:val="000732A8"/>
    <w:rsid w:val="00085775"/>
    <w:rsid w:val="000C1896"/>
    <w:rsid w:val="000C33DD"/>
    <w:rsid w:val="000C3DAF"/>
    <w:rsid w:val="000E603D"/>
    <w:rsid w:val="000E6A2F"/>
    <w:rsid w:val="000F451D"/>
    <w:rsid w:val="00106806"/>
    <w:rsid w:val="00112E75"/>
    <w:rsid w:val="0012123E"/>
    <w:rsid w:val="0013199A"/>
    <w:rsid w:val="00144A81"/>
    <w:rsid w:val="001522AB"/>
    <w:rsid w:val="00157C6B"/>
    <w:rsid w:val="0016797A"/>
    <w:rsid w:val="00170A9A"/>
    <w:rsid w:val="00172E39"/>
    <w:rsid w:val="001875C6"/>
    <w:rsid w:val="00193950"/>
    <w:rsid w:val="001A48E5"/>
    <w:rsid w:val="001A56FD"/>
    <w:rsid w:val="001A664F"/>
    <w:rsid w:val="001B1A17"/>
    <w:rsid w:val="001B4463"/>
    <w:rsid w:val="001C4147"/>
    <w:rsid w:val="001C4595"/>
    <w:rsid w:val="001E62B1"/>
    <w:rsid w:val="001F0CEF"/>
    <w:rsid w:val="00203775"/>
    <w:rsid w:val="00211EAB"/>
    <w:rsid w:val="00220DF4"/>
    <w:rsid w:val="0024511C"/>
    <w:rsid w:val="00252019"/>
    <w:rsid w:val="002524FA"/>
    <w:rsid w:val="0027072A"/>
    <w:rsid w:val="00270E5F"/>
    <w:rsid w:val="0028041A"/>
    <w:rsid w:val="00281259"/>
    <w:rsid w:val="00283644"/>
    <w:rsid w:val="00284E86"/>
    <w:rsid w:val="00284FA8"/>
    <w:rsid w:val="0028610F"/>
    <w:rsid w:val="00290D9B"/>
    <w:rsid w:val="002A0880"/>
    <w:rsid w:val="002A14B0"/>
    <w:rsid w:val="002B48C4"/>
    <w:rsid w:val="002C4AAF"/>
    <w:rsid w:val="002C680B"/>
    <w:rsid w:val="002C74E2"/>
    <w:rsid w:val="002D37C1"/>
    <w:rsid w:val="002D37C8"/>
    <w:rsid w:val="002E1717"/>
    <w:rsid w:val="002F44E0"/>
    <w:rsid w:val="003146AC"/>
    <w:rsid w:val="003347E9"/>
    <w:rsid w:val="00340512"/>
    <w:rsid w:val="00341DD4"/>
    <w:rsid w:val="0034640C"/>
    <w:rsid w:val="0035579D"/>
    <w:rsid w:val="00370268"/>
    <w:rsid w:val="00396222"/>
    <w:rsid w:val="0039655F"/>
    <w:rsid w:val="003B5DC3"/>
    <w:rsid w:val="003C48B5"/>
    <w:rsid w:val="003E7C59"/>
    <w:rsid w:val="003F5430"/>
    <w:rsid w:val="00400300"/>
    <w:rsid w:val="0040131F"/>
    <w:rsid w:val="0040459D"/>
    <w:rsid w:val="00417824"/>
    <w:rsid w:val="004215D4"/>
    <w:rsid w:val="004221F5"/>
    <w:rsid w:val="00423667"/>
    <w:rsid w:val="00430A0A"/>
    <w:rsid w:val="00437C63"/>
    <w:rsid w:val="00443F68"/>
    <w:rsid w:val="004555B8"/>
    <w:rsid w:val="00457B86"/>
    <w:rsid w:val="00473574"/>
    <w:rsid w:val="0048274B"/>
    <w:rsid w:val="00495633"/>
    <w:rsid w:val="004A4C68"/>
    <w:rsid w:val="004A714B"/>
    <w:rsid w:val="004B0DFF"/>
    <w:rsid w:val="004B3E9A"/>
    <w:rsid w:val="004D02E5"/>
    <w:rsid w:val="004D2B87"/>
    <w:rsid w:val="004E4434"/>
    <w:rsid w:val="004E79B9"/>
    <w:rsid w:val="004F05EE"/>
    <w:rsid w:val="004F4E3C"/>
    <w:rsid w:val="0050698C"/>
    <w:rsid w:val="005260BD"/>
    <w:rsid w:val="00527C59"/>
    <w:rsid w:val="00535009"/>
    <w:rsid w:val="0054095E"/>
    <w:rsid w:val="00541D7A"/>
    <w:rsid w:val="00543878"/>
    <w:rsid w:val="00545F72"/>
    <w:rsid w:val="005479D9"/>
    <w:rsid w:val="00552E0E"/>
    <w:rsid w:val="0058157D"/>
    <w:rsid w:val="00597D38"/>
    <w:rsid w:val="005B02B3"/>
    <w:rsid w:val="005B2B9B"/>
    <w:rsid w:val="00632096"/>
    <w:rsid w:val="00632F43"/>
    <w:rsid w:val="00640240"/>
    <w:rsid w:val="006452C3"/>
    <w:rsid w:val="006910BB"/>
    <w:rsid w:val="00693BE1"/>
    <w:rsid w:val="006B1C14"/>
    <w:rsid w:val="006B4AB7"/>
    <w:rsid w:val="006B555A"/>
    <w:rsid w:val="006B663F"/>
    <w:rsid w:val="006B7ECD"/>
    <w:rsid w:val="006C0FAA"/>
    <w:rsid w:val="006C1A90"/>
    <w:rsid w:val="006C2567"/>
    <w:rsid w:val="006D6002"/>
    <w:rsid w:val="006E1043"/>
    <w:rsid w:val="006F737D"/>
    <w:rsid w:val="00701E7C"/>
    <w:rsid w:val="007112BF"/>
    <w:rsid w:val="00724BEC"/>
    <w:rsid w:val="00727A47"/>
    <w:rsid w:val="00730B7C"/>
    <w:rsid w:val="00735AC2"/>
    <w:rsid w:val="00735B31"/>
    <w:rsid w:val="00741D33"/>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03D99"/>
    <w:rsid w:val="00823A42"/>
    <w:rsid w:val="00837660"/>
    <w:rsid w:val="00837A93"/>
    <w:rsid w:val="00853ACA"/>
    <w:rsid w:val="00854729"/>
    <w:rsid w:val="008560B8"/>
    <w:rsid w:val="00856F93"/>
    <w:rsid w:val="0087163F"/>
    <w:rsid w:val="00872091"/>
    <w:rsid w:val="00891E24"/>
    <w:rsid w:val="0089322D"/>
    <w:rsid w:val="00894743"/>
    <w:rsid w:val="008A5F7B"/>
    <w:rsid w:val="008A69E2"/>
    <w:rsid w:val="008C5D2D"/>
    <w:rsid w:val="008C649B"/>
    <w:rsid w:val="008C7A97"/>
    <w:rsid w:val="008D5013"/>
    <w:rsid w:val="008E51D0"/>
    <w:rsid w:val="008E787B"/>
    <w:rsid w:val="009508A9"/>
    <w:rsid w:val="00951D22"/>
    <w:rsid w:val="00955AE7"/>
    <w:rsid w:val="00961A43"/>
    <w:rsid w:val="00982549"/>
    <w:rsid w:val="0098455B"/>
    <w:rsid w:val="00990F70"/>
    <w:rsid w:val="009938C9"/>
    <w:rsid w:val="009A70F5"/>
    <w:rsid w:val="009B569A"/>
    <w:rsid w:val="009C38E7"/>
    <w:rsid w:val="009D119C"/>
    <w:rsid w:val="009D1AC8"/>
    <w:rsid w:val="009D7209"/>
    <w:rsid w:val="009E37B3"/>
    <w:rsid w:val="009F14EF"/>
    <w:rsid w:val="009F2E9D"/>
    <w:rsid w:val="009F7ACC"/>
    <w:rsid w:val="00A12CF2"/>
    <w:rsid w:val="00A14407"/>
    <w:rsid w:val="00A161B2"/>
    <w:rsid w:val="00A2076A"/>
    <w:rsid w:val="00A20839"/>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AF6B99"/>
    <w:rsid w:val="00AF7907"/>
    <w:rsid w:val="00B02409"/>
    <w:rsid w:val="00B027BA"/>
    <w:rsid w:val="00B11EB7"/>
    <w:rsid w:val="00B21940"/>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54C1"/>
    <w:rsid w:val="00BE58CC"/>
    <w:rsid w:val="00BE71AD"/>
    <w:rsid w:val="00BF2520"/>
    <w:rsid w:val="00BF34B0"/>
    <w:rsid w:val="00C052D1"/>
    <w:rsid w:val="00C07A69"/>
    <w:rsid w:val="00C56202"/>
    <w:rsid w:val="00C669FB"/>
    <w:rsid w:val="00C7660D"/>
    <w:rsid w:val="00C773FC"/>
    <w:rsid w:val="00C90DF6"/>
    <w:rsid w:val="00CA2E50"/>
    <w:rsid w:val="00CB406F"/>
    <w:rsid w:val="00CC57DD"/>
    <w:rsid w:val="00CD5138"/>
    <w:rsid w:val="00CD6AA9"/>
    <w:rsid w:val="00CF1D89"/>
    <w:rsid w:val="00D047F2"/>
    <w:rsid w:val="00D41D65"/>
    <w:rsid w:val="00D602EC"/>
    <w:rsid w:val="00D67F26"/>
    <w:rsid w:val="00D73B17"/>
    <w:rsid w:val="00D77C83"/>
    <w:rsid w:val="00D819B9"/>
    <w:rsid w:val="00D905CB"/>
    <w:rsid w:val="00D955E3"/>
    <w:rsid w:val="00DA51FD"/>
    <w:rsid w:val="00DC0B1E"/>
    <w:rsid w:val="00DD0F34"/>
    <w:rsid w:val="00DE148F"/>
    <w:rsid w:val="00DE3391"/>
    <w:rsid w:val="00E0388A"/>
    <w:rsid w:val="00E223B1"/>
    <w:rsid w:val="00E23678"/>
    <w:rsid w:val="00E4479C"/>
    <w:rsid w:val="00E53018"/>
    <w:rsid w:val="00E63826"/>
    <w:rsid w:val="00E6427D"/>
    <w:rsid w:val="00E71BDE"/>
    <w:rsid w:val="00E736F7"/>
    <w:rsid w:val="00E73874"/>
    <w:rsid w:val="00E7713B"/>
    <w:rsid w:val="00E8008D"/>
    <w:rsid w:val="00E80BAA"/>
    <w:rsid w:val="00E869CD"/>
    <w:rsid w:val="00E9096C"/>
    <w:rsid w:val="00EC1CAF"/>
    <w:rsid w:val="00EC2AEC"/>
    <w:rsid w:val="00ED4210"/>
    <w:rsid w:val="00EE51B0"/>
    <w:rsid w:val="00EF0291"/>
    <w:rsid w:val="00F00A59"/>
    <w:rsid w:val="00F066D4"/>
    <w:rsid w:val="00F13088"/>
    <w:rsid w:val="00F20913"/>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395D-D9EB-4AA2-8FC1-CE5E421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7502</Words>
  <Characters>42767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184</cp:revision>
  <dcterms:created xsi:type="dcterms:W3CDTF">2017-02-01T12:28:00Z</dcterms:created>
  <dcterms:modified xsi:type="dcterms:W3CDTF">2024-03-18T09:11:00Z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