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b/>
          <w:sz w:val="20"/>
          <w:szCs w:val="20"/>
        </w:rPr>
      </w:pP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до тендерної документації</w:t>
      </w:r>
    </w:p>
    <w:p>
      <w:pPr>
        <w:bidi w:val="0"/>
        <w:jc w:val="both"/>
      </w:pPr>
      <w:r>
        <w:t> </w:t>
      </w:r>
    </w:p>
    <w:p>
      <w:pPr>
        <w:bidi w:val="0"/>
        <w:jc w:val="both"/>
      </w:pPr>
      <w:r>
        <w:t>Перелік документів та інформації  для підтвердження відповідності УЧАСНИКА  кваліфікаційним критеріям, визначеним у статті 16 Закону “Про</w:t>
      </w:r>
      <w:bookmarkStart w:id="1" w:name="_GoBack"/>
      <w:bookmarkEnd w:id="1"/>
      <w:r>
        <w:t xml:space="preserve"> публічні закупівлі”:</w:t>
      </w:r>
    </w:p>
    <w:p>
      <w:pPr>
        <w:bidi w:val="0"/>
        <w:jc w:val="both"/>
      </w:pPr>
    </w:p>
    <w:p>
      <w:pPr>
        <w:bidi w:val="0"/>
        <w:jc w:val="both"/>
      </w:pPr>
      <w:r>
        <w:t>Замовник вибирає один або декілька кваліфікаційних критеріїв залежно від специфіки предмета закупівлі.</w:t>
      </w:r>
    </w:p>
    <w:tbl>
      <w:tblPr>
        <w:tblStyle w:val="34"/>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W w:w="4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bidi w:val="0"/>
              <w:jc w:val="both"/>
            </w:pPr>
            <w:r>
              <w:t>№ з/п</w:t>
            </w:r>
          </w:p>
        </w:tc>
        <w:tc>
          <w:tcPr>
            <w:tcW w:w="29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bidi w:val="0"/>
              <w:jc w:val="both"/>
            </w:pPr>
            <w:r>
              <w:t>Кваліфікаційні критерії</w:t>
            </w:r>
          </w:p>
        </w:tc>
        <w:tc>
          <w:tcPr>
            <w:tcW w:w="6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bidi w:val="0"/>
              <w:jc w:val="both"/>
            </w:pPr>
            <w:r>
              <w:t>Документи та інформація, які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W w:w="4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rPr>
                <w:lang w:val="uk-UA"/>
              </w:rPr>
            </w:pPr>
            <w:r>
              <w:rPr>
                <w:lang w:val="uk-UA"/>
              </w:rPr>
              <w:t>1</w:t>
            </w:r>
          </w:p>
        </w:tc>
        <w:tc>
          <w:tcPr>
            <w:tcW w:w="29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rPr>
                <w:lang w:val="uk-UA"/>
              </w:rPr>
              <w:t>1</w:t>
            </w:r>
            <w:r>
              <w:t>.1. На підтвердження досвіду виконання аналогічного (аналогічних) за предметом закупівлі договору (договорів) Учасник має надати:</w:t>
            </w:r>
          </w:p>
          <w:p>
            <w:pPr>
              <w:bidi w:val="0"/>
              <w:jc w:val="both"/>
            </w:pPr>
            <w:r>
              <w:rPr>
                <w:lang w:val="uk-UA"/>
              </w:rPr>
              <w:t>1</w:t>
            </w:r>
            <w:r>
              <w:t>.1.1. дові</w:t>
            </w:r>
            <w:r>
              <w:rPr>
                <w:lang w:val="uk-UA"/>
              </w:rPr>
              <w:t>1</w:t>
            </w:r>
            <w:r>
              <w:t>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bidi w:val="0"/>
              <w:jc w:val="both"/>
            </w:pPr>
            <w:r>
              <w:t xml:space="preserve">Аналогічним вважається договір </w:t>
            </w:r>
            <w:r>
              <w:rPr>
                <w:lang w:val="uk-UA"/>
              </w:rPr>
              <w:t xml:space="preserve">на поставку товару згідно </w:t>
            </w:r>
            <w:r>
              <w:t>ДК 021:2015:09130000- 9 Нафта і дистиляти  </w:t>
            </w:r>
            <w:r>
              <w:rPr>
                <w:lang w:val="uk-UA"/>
              </w:rPr>
              <w:t xml:space="preserve"> </w:t>
            </w:r>
            <w:r>
              <w:t>(Дизельне паливо</w:t>
            </w:r>
            <w:r>
              <w:rPr>
                <w:lang w:val="uk-UA"/>
              </w:rPr>
              <w:t xml:space="preserve"> та/або бензин А 95</w:t>
            </w:r>
            <w:r>
              <w:t>)</w:t>
            </w:r>
          </w:p>
          <w:p>
            <w:pPr>
              <w:bidi w:val="0"/>
              <w:jc w:val="both"/>
            </w:pPr>
            <w:r>
              <w:rPr>
                <w:lang w:val="uk-UA"/>
              </w:rPr>
              <w:t>1</w:t>
            </w:r>
            <w:r>
              <w:t>.1.2. не менше 1 копії договору, зазначеного в довідці в повному обсязі,</w:t>
            </w:r>
          </w:p>
          <w:p>
            <w:pPr>
              <w:bidi w:val="0"/>
              <w:jc w:val="both"/>
            </w:pPr>
            <w:r>
              <w:rPr>
                <w:lang w:val="uk-UA"/>
              </w:rPr>
              <w:t>1</w:t>
            </w:r>
            <w:r>
              <w:t>.1.3. копії/ю документів/а на підтвердження виконання не менше ніж одного договору, зазначеного в наданій Учасником довідці. </w:t>
            </w:r>
          </w:p>
          <w:p>
            <w:pPr>
              <w:bidi w:val="0"/>
              <w:jc w:val="both"/>
            </w:pPr>
          </w:p>
          <w:p>
            <w:pPr>
              <w:bidi w:val="0"/>
              <w:jc w:val="both"/>
            </w:pPr>
            <w: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bidi w:val="0"/>
              <w:jc w:val="both"/>
            </w:pPr>
            <w:r>
              <w:t>Інформація та документи можуть надаватися про частково виконаний  договір, дія якого не закінчена.</w:t>
            </w:r>
          </w:p>
        </w:tc>
      </w:tr>
    </w:tbl>
    <w:p>
      <w:pPr>
        <w:bidi w:val="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bidi w:val="0"/>
        <w:jc w:val="both"/>
      </w:pPr>
      <w: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pPr>
        <w:bidi w:val="0"/>
        <w:jc w:val="both"/>
      </w:pPr>
    </w:p>
    <w:p>
      <w:pPr>
        <w:bidi w:val="0"/>
        <w:jc w:val="both"/>
      </w:pPr>
      <w:r>
        <w:t>2. Підтвердження відповідності УЧАСНИКА (в тому числі для об’єднання учасників як учасника процедури)  вимогам, визначеним у пункті 47 Особливостей.</w:t>
      </w:r>
    </w:p>
    <w:p>
      <w:pPr>
        <w:bidi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bidi w:val="0"/>
        <w:jc w:val="both"/>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bidi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bidi w:val="0"/>
        <w:jc w:val="both"/>
      </w:pPr>
      <w: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bidi w:val="0"/>
        <w:jc w:val="both"/>
      </w:pPr>
      <w: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bidi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bidi w:val="0"/>
        <w:jc w:val="both"/>
      </w:pPr>
    </w:p>
    <w:p>
      <w:pPr>
        <w:bidi w:val="0"/>
        <w:jc w:val="both"/>
      </w:pPr>
      <w:r>
        <w:t>3. Перелік документів та інформації  для підтвердження відповідності ПЕРЕМОЖЦЯ вимогам, визначеним у пункті 47 Особливостей:</w:t>
      </w:r>
    </w:p>
    <w:p>
      <w:pPr>
        <w:bidi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bidi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bidi w:val="0"/>
        <w:jc w:val="both"/>
      </w:pPr>
    </w:p>
    <w:p>
      <w:pPr>
        <w:bidi w:val="0"/>
        <w:jc w:val="both"/>
      </w:pPr>
      <w:r>
        <w:t> 3.1. Документи, які надаються  ПЕРЕМОЖЦЕМ (юридичною особою):</w:t>
      </w:r>
    </w:p>
    <w:tbl>
      <w:tblPr>
        <w:tblStyle w:val="36"/>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w:t>
            </w:r>
          </w:p>
          <w:p>
            <w:pPr>
              <w:bidi w:val="0"/>
              <w:jc w:val="both"/>
            </w:pPr>
            <w:r>
              <w:t>з/п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Вимоги згідно п. 47 Особливостей</w:t>
            </w:r>
          </w:p>
          <w:p>
            <w:pPr>
              <w:bidi w:val="0"/>
              <w:jc w:val="both"/>
            </w:pP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bidi w:val="0"/>
              <w:jc w:val="both"/>
            </w:pPr>
            <w:r>
              <w:t>(підпункт 3 пункт 47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Перевіряється безпосередньо замовником самостійно, крім випадків, коли доступ до такої інформації є обмеженим*.</w:t>
            </w:r>
          </w:p>
          <w:p>
            <w:pPr>
              <w:bidi w:val="0"/>
              <w:jc w:val="both"/>
            </w:pPr>
            <w: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bidi w:val="0"/>
              <w:jc w:val="both"/>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bidi w:val="0"/>
              <w:jc w:val="both"/>
            </w:pPr>
            <w:r>
              <w:t>(підпункт 6 пункт 47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bidi w:val="0"/>
              <w:jc w:val="both"/>
            </w:pPr>
            <w: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bidi w:val="0"/>
              <w:jc w:val="both"/>
            </w:pPr>
          </w:p>
          <w:p>
            <w:pPr>
              <w:bidi w:val="0"/>
              <w:jc w:val="both"/>
            </w:pPr>
            <w: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bidi w:val="0"/>
              <w:jc w:val="both"/>
            </w:pPr>
            <w:r>
              <w:t>(підпункт 12 пункт 47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bidi w:val="0"/>
              <w:jc w:val="both"/>
            </w:pPr>
          </w:p>
        </w:tc>
      </w:tr>
      <w:tr>
        <w:tblPrEx>
          <w:tblCellMar>
            <w:top w:w="15" w:type="dxa"/>
            <w:left w:w="15" w:type="dxa"/>
            <w:bottom w:w="15" w:type="dxa"/>
            <w:right w:w="15"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bidi w:val="0"/>
              <w:jc w:val="both"/>
            </w:pPr>
            <w:r>
              <w:t>(абзац 14 пункт 47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bidi w:val="0"/>
        <w:jc w:val="both"/>
      </w:pPr>
    </w:p>
    <w:p>
      <w:pPr>
        <w:bidi w:val="0"/>
        <w:jc w:val="both"/>
      </w:pPr>
      <w:r>
        <w:t>3.2. Документи, які надаються ПЕРЕМОЖЦЕМ (фізичною особою чи фізичною особою — підприємцем):</w:t>
      </w:r>
    </w:p>
    <w:tbl>
      <w:tblPr>
        <w:tblStyle w:val="37"/>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w:t>
            </w:r>
          </w:p>
          <w:p>
            <w:pPr>
              <w:bidi w:val="0"/>
              <w:jc w:val="both"/>
            </w:pPr>
            <w:r>
              <w:t>з/п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Вимоги згідно пункту 47 Особливостей</w:t>
            </w:r>
          </w:p>
          <w:p>
            <w:pPr>
              <w:bidi w:val="0"/>
              <w:jc w:val="both"/>
            </w:pP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Переможець торгів на виконання вимоги згідно пункту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bidi w:val="0"/>
              <w:jc w:val="both"/>
            </w:pPr>
            <w:r>
              <w:t>(підпункт 3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Перевіряється безпосередньо замовником самостійно, крім випадків, коли доступ до такої інформації є обмеженим*.</w:t>
            </w:r>
          </w:p>
          <w:p>
            <w:pPr>
              <w:bidi w:val="0"/>
              <w:jc w:val="both"/>
            </w:pPr>
            <w: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bidi w:val="0"/>
              <w:jc w:val="both"/>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bidi w:val="0"/>
              <w:jc w:val="both"/>
            </w:pPr>
            <w:r>
              <w:t>(підпункт 5 пункт 47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bidi w:val="0"/>
              <w:jc w:val="both"/>
            </w:pPr>
            <w: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bidi w:val="0"/>
              <w:jc w:val="both"/>
            </w:pPr>
          </w:p>
          <w:p>
            <w:pPr>
              <w:bidi w:val="0"/>
              <w:jc w:val="both"/>
            </w:pPr>
            <w: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bidi w:val="0"/>
              <w:jc w:val="both"/>
            </w:pPr>
            <w: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bidi w:val="0"/>
              <w:jc w:val="both"/>
            </w:pPr>
          </w:p>
        </w:tc>
      </w:tr>
      <w:tr>
        <w:tblPrEx>
          <w:tblCellMar>
            <w:top w:w="15" w:type="dxa"/>
            <w:left w:w="15" w:type="dxa"/>
            <w:bottom w:w="15" w:type="dxa"/>
            <w:right w:w="15" w:type="dxa"/>
          </w:tblCellMar>
        </w:tblPrEx>
        <w:trPr>
          <w:trHeight w:val="409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bidi w:val="0"/>
              <w:jc w:val="both"/>
            </w:pPr>
            <w:r>
              <w:t>(абзац 14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bidi w:val="0"/>
        <w:jc w:val="both"/>
      </w:pPr>
    </w:p>
    <w:p>
      <w:pPr>
        <w:bidi w:val="0"/>
        <w:jc w:val="both"/>
      </w:pPr>
      <w: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38"/>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bidi w:val="0"/>
              <w:jc w:val="both"/>
            </w:pPr>
            <w:r>
              <w:t>Інші документи від Учасника:</w:t>
            </w:r>
          </w:p>
        </w:tc>
      </w:tr>
      <w:tr>
        <w:tblPrEx>
          <w:tblCellMar>
            <w:top w:w="15" w:type="dxa"/>
            <w:left w:w="15" w:type="dxa"/>
            <w:bottom w:w="15" w:type="dxa"/>
            <w:right w:w="15"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pPr>
              <w:bidi w:val="0"/>
              <w:jc w:val="both"/>
            </w:pPr>
            <w: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3</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bidi w:val="0"/>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pPr>
              <w:bidi w:val="0"/>
              <w:jc w:val="both"/>
            </w:pPr>
            <w: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br w:type="textWrapping"/>
            </w:r>
            <w:r>
              <w:t xml:space="preserve"> або</w:t>
            </w:r>
            <w:r>
              <w:br w:type="textWrapping"/>
            </w:r>
            <w:r>
              <w:t xml:space="preserve"> • посвідчення біженця чи документ, що підтверджує надання притулку в Україні,</w:t>
            </w:r>
            <w:r>
              <w:br w:type="textWrapping"/>
            </w:r>
            <w:r>
              <w:t xml:space="preserve"> або</w:t>
            </w:r>
            <w:r>
              <w:br w:type="textWrapping"/>
            </w:r>
            <w:r>
              <w:t xml:space="preserve"> • посвідчення особи, яка потребує додаткового захисту в Україні,</w:t>
            </w:r>
            <w:r>
              <w:br w:type="textWrapping"/>
            </w:r>
            <w:r>
              <w:t xml:space="preserve"> або</w:t>
            </w:r>
            <w:r>
              <w:br w:type="textWrapping"/>
            </w:r>
            <w:r>
              <w:t xml:space="preserve"> •    посвідчення особи, якій надано тимчасовий захист в Україні,</w:t>
            </w:r>
            <w:r>
              <w:br w:type="textWrapping"/>
            </w:r>
            <w:r>
              <w:t xml:space="preserve"> або</w:t>
            </w:r>
            <w:r>
              <w:br w:type="textWrapping"/>
            </w:r>
            <w: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br w:type="textWrapping"/>
            </w:r>
            <w:r>
              <w:br w:type="textWrapping"/>
            </w:r>
            <w: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br w:type="textWrapping"/>
            </w:r>
            <w:r>
              <w:t xml:space="preserve"> • Ухвалу слідчого судді, суду, щодо арешту активів,</w:t>
            </w:r>
            <w:r>
              <w:br w:type="textWrapping"/>
            </w:r>
            <w:r>
              <w:t xml:space="preserve"> або</w:t>
            </w:r>
            <w:r>
              <w:br w:type="textWrapping"/>
            </w:r>
            <w:r>
              <w:t xml:space="preserve"> • Нотаріально засвідчену копію згоди власника, щодо управління активами,</w:t>
            </w:r>
            <w:r>
              <w:br w:type="textWrapping"/>
            </w:r>
            <w:r>
              <w:t xml:space="preserve"> а також:</w:t>
            </w:r>
            <w:r>
              <w:br w:type="textWrapping"/>
            </w:r>
            <w: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br w:type="textWrapping"/>
            </w:r>
            <w:r>
              <w:t xml:space="preserve"> або</w:t>
            </w:r>
            <w:r>
              <w:br w:type="textWrapping"/>
            </w:r>
            <w:r>
              <w:t xml:space="preserve"> • рішення Кабінету Міністрів України, щодо управління активами, на які накладено арешт у кримінальному провадженні.</w:t>
            </w:r>
          </w:p>
        </w:tc>
      </w:tr>
    </w:tbl>
    <w:p>
      <w:pPr>
        <w:bidi w:val="0"/>
        <w:jc w:val="both"/>
      </w:pPr>
    </w:p>
    <w:p>
      <w:pPr>
        <w:bidi w:val="0"/>
        <w:jc w:val="both"/>
      </w:pPr>
    </w:p>
    <w:p>
      <w:pPr>
        <w:bidi w:val="0"/>
        <w:jc w:val="both"/>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Courier New"/>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0A"/>
    <w:rsid w:val="001C210A"/>
    <w:rsid w:val="001C3DF3"/>
    <w:rsid w:val="0058148B"/>
    <w:rsid w:val="00B84012"/>
    <w:rsid w:val="6A0C6B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ru-RU"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semiHidden/>
    <w:unhideWhenUsed/>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Subtitle"/>
    <w:basedOn w:val="13"/>
    <w:next w:val="13"/>
    <w:uiPriority w:val="0"/>
    <w:pPr>
      <w:keepNext/>
      <w:keepLines/>
      <w:spacing w:before="360" w:after="80"/>
    </w:pPr>
    <w:rPr>
      <w:rFonts w:ascii="Georgia" w:hAnsi="Georgia" w:eastAsia="Georgia" w:cs="Georgia"/>
      <w:i/>
      <w:color w:val="666666"/>
      <w:sz w:val="48"/>
      <w:szCs w:val="48"/>
    </w:rPr>
  </w:style>
  <w:style w:type="paragraph" w:customStyle="1" w:styleId="13">
    <w:name w:val="Обычный1"/>
    <w:uiPriority w:val="0"/>
    <w:pPr>
      <w:spacing w:after="160" w:line="259" w:lineRule="auto"/>
    </w:pPr>
    <w:rPr>
      <w:rFonts w:ascii="Calibri" w:hAnsi="Calibri" w:eastAsia="Calibri" w:cs="Calibri"/>
      <w:sz w:val="22"/>
      <w:szCs w:val="22"/>
      <w:lang w:val="ru-RU" w:eastAsia="ru-RU" w:bidi="ar-SA"/>
    </w:rPr>
  </w:style>
  <w:style w:type="paragraph" w:styleId="14">
    <w:name w:val="Title"/>
    <w:basedOn w:val="1"/>
    <w:next w:val="1"/>
    <w:qFormat/>
    <w:uiPriority w:val="10"/>
    <w:pPr>
      <w:keepNext/>
      <w:keepLines/>
      <w:spacing w:before="480" w:after="120"/>
    </w:pPr>
    <w:rPr>
      <w:b/>
      <w:sz w:val="72"/>
      <w:szCs w:val="72"/>
    </w:rPr>
  </w:style>
  <w:style w:type="table" w:customStyle="1" w:styleId="15">
    <w:name w:val="Table Normal1"/>
    <w:uiPriority w:val="0"/>
    <w:tblPr>
      <w:tblCellMar>
        <w:top w:w="0" w:type="dxa"/>
        <w:left w:w="0" w:type="dxa"/>
        <w:bottom w:w="0" w:type="dxa"/>
        <w:right w:w="0" w:type="dxa"/>
      </w:tblCellMar>
    </w:tblPr>
  </w:style>
  <w:style w:type="table" w:customStyle="1" w:styleId="16">
    <w:name w:val="Table Normal2"/>
    <w:uiPriority w:val="0"/>
    <w:tblPr>
      <w:tblCellMar>
        <w:top w:w="0" w:type="dxa"/>
        <w:left w:w="0" w:type="dxa"/>
        <w:bottom w:w="0" w:type="dxa"/>
        <w:right w:w="0" w:type="dxa"/>
      </w:tblCellMar>
    </w:tblPr>
  </w:style>
  <w:style w:type="table" w:customStyle="1" w:styleId="17">
    <w:name w:val="Table Normal3"/>
    <w:uiPriority w:val="0"/>
    <w:tblPr>
      <w:tblCellMar>
        <w:top w:w="0" w:type="dxa"/>
        <w:left w:w="0" w:type="dxa"/>
        <w:bottom w:w="0" w:type="dxa"/>
        <w:right w:w="0" w:type="dxa"/>
      </w:tblCellMar>
    </w:tblPr>
  </w:style>
  <w:style w:type="character" w:customStyle="1" w:styleId="18">
    <w:name w:val="apple-tab-span"/>
    <w:basedOn w:val="8"/>
    <w:uiPriority w:val="0"/>
  </w:style>
  <w:style w:type="paragraph" w:styleId="19">
    <w:name w:val="List Paragraph"/>
    <w:basedOn w:val="1"/>
    <w:qFormat/>
    <w:uiPriority w:val="34"/>
    <w:pPr>
      <w:ind w:left="720"/>
      <w:contextualSpacing/>
    </w:pPr>
  </w:style>
  <w:style w:type="table" w:customStyle="1" w:styleId="20">
    <w:name w:val="_Style 19"/>
    <w:basedOn w:val="17"/>
    <w:uiPriority w:val="0"/>
    <w:tblPr>
      <w:tblCellMar>
        <w:top w:w="15" w:type="dxa"/>
        <w:left w:w="15" w:type="dxa"/>
        <w:bottom w:w="15" w:type="dxa"/>
        <w:right w:w="15" w:type="dxa"/>
      </w:tblCellMar>
    </w:tblPr>
  </w:style>
  <w:style w:type="table" w:customStyle="1" w:styleId="21">
    <w:name w:val="_Style 20"/>
    <w:basedOn w:val="17"/>
    <w:qFormat/>
    <w:uiPriority w:val="0"/>
    <w:tblPr>
      <w:tblCellMar>
        <w:top w:w="15" w:type="dxa"/>
        <w:left w:w="15" w:type="dxa"/>
        <w:bottom w:w="15" w:type="dxa"/>
        <w:right w:w="15" w:type="dxa"/>
      </w:tblCellMar>
    </w:tblPr>
  </w:style>
  <w:style w:type="table" w:customStyle="1" w:styleId="22">
    <w:name w:val="_Style 21"/>
    <w:basedOn w:val="17"/>
    <w:uiPriority w:val="0"/>
    <w:tblPr>
      <w:tblCellMar>
        <w:top w:w="15" w:type="dxa"/>
        <w:left w:w="15" w:type="dxa"/>
        <w:bottom w:w="15" w:type="dxa"/>
        <w:right w:w="15" w:type="dxa"/>
      </w:tblCellMar>
    </w:tblPr>
  </w:style>
  <w:style w:type="table" w:customStyle="1" w:styleId="23">
    <w:name w:val="_Style 22"/>
    <w:basedOn w:val="17"/>
    <w:uiPriority w:val="0"/>
    <w:tblPr>
      <w:tblCellMar>
        <w:top w:w="15" w:type="dxa"/>
        <w:left w:w="15" w:type="dxa"/>
        <w:bottom w:w="15" w:type="dxa"/>
        <w:right w:w="15" w:type="dxa"/>
      </w:tblCellMar>
    </w:tblPr>
  </w:style>
  <w:style w:type="table" w:customStyle="1" w:styleId="24">
    <w:name w:val="_Style 23"/>
    <w:basedOn w:val="17"/>
    <w:qFormat/>
    <w:uiPriority w:val="0"/>
    <w:tblPr>
      <w:tblCellMar>
        <w:top w:w="15" w:type="dxa"/>
        <w:left w:w="15" w:type="dxa"/>
        <w:bottom w:w="15" w:type="dxa"/>
        <w:right w:w="15" w:type="dxa"/>
      </w:tblCellMar>
    </w:tblPr>
  </w:style>
  <w:style w:type="table" w:customStyle="1" w:styleId="25">
    <w:name w:val="_Style 24"/>
    <w:basedOn w:val="17"/>
    <w:qFormat/>
    <w:uiPriority w:val="0"/>
    <w:tblPr>
      <w:tblCellMar>
        <w:top w:w="15" w:type="dxa"/>
        <w:left w:w="15" w:type="dxa"/>
        <w:bottom w:w="15" w:type="dxa"/>
        <w:right w:w="15" w:type="dxa"/>
      </w:tblCellMar>
    </w:tblPr>
  </w:style>
  <w:style w:type="table" w:customStyle="1" w:styleId="26">
    <w:name w:val="_Style 25"/>
    <w:basedOn w:val="17"/>
    <w:uiPriority w:val="0"/>
    <w:tblPr>
      <w:tblCellMar>
        <w:top w:w="15" w:type="dxa"/>
        <w:left w:w="15" w:type="dxa"/>
        <w:bottom w:w="15" w:type="dxa"/>
        <w:right w:w="15" w:type="dxa"/>
      </w:tblCellMar>
    </w:tblPr>
  </w:style>
  <w:style w:type="paragraph" w:customStyle="1" w:styleId="27">
    <w:name w:val="Нормальний текст"/>
    <w:basedOn w:val="1"/>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8">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9">
    <w:name w:val="_Style 28"/>
    <w:basedOn w:val="17"/>
    <w:uiPriority w:val="0"/>
    <w:tblPr>
      <w:tblCellMar>
        <w:top w:w="15" w:type="dxa"/>
        <w:left w:w="15" w:type="dxa"/>
        <w:bottom w:w="15" w:type="dxa"/>
        <w:right w:w="15" w:type="dxa"/>
      </w:tblCellMar>
    </w:tblPr>
  </w:style>
  <w:style w:type="table" w:customStyle="1" w:styleId="30">
    <w:name w:val="_Style 29"/>
    <w:basedOn w:val="17"/>
    <w:uiPriority w:val="0"/>
    <w:tblPr>
      <w:tblCellMar>
        <w:top w:w="15" w:type="dxa"/>
        <w:left w:w="15" w:type="dxa"/>
        <w:bottom w:w="15" w:type="dxa"/>
        <w:right w:w="15" w:type="dxa"/>
      </w:tblCellMar>
    </w:tblPr>
  </w:style>
  <w:style w:type="table" w:customStyle="1" w:styleId="31">
    <w:name w:val="_Style 30"/>
    <w:basedOn w:val="17"/>
    <w:uiPriority w:val="0"/>
    <w:tblPr>
      <w:tblCellMar>
        <w:top w:w="15" w:type="dxa"/>
        <w:left w:w="15" w:type="dxa"/>
        <w:bottom w:w="15" w:type="dxa"/>
        <w:right w:w="15" w:type="dxa"/>
      </w:tblCellMar>
    </w:tblPr>
  </w:style>
  <w:style w:type="table" w:customStyle="1" w:styleId="32">
    <w:name w:val="_Style 31"/>
    <w:basedOn w:val="17"/>
    <w:qFormat/>
    <w:uiPriority w:val="0"/>
    <w:tblPr>
      <w:tblCellMar>
        <w:top w:w="15" w:type="dxa"/>
        <w:left w:w="15" w:type="dxa"/>
        <w:bottom w:w="15" w:type="dxa"/>
        <w:right w:w="15" w:type="dxa"/>
      </w:tblCellMar>
    </w:tblPr>
  </w:style>
  <w:style w:type="table" w:customStyle="1" w:styleId="33">
    <w:name w:val="_Style 32"/>
    <w:basedOn w:val="17"/>
    <w:uiPriority w:val="0"/>
    <w:tblPr>
      <w:tblCellMar>
        <w:top w:w="15" w:type="dxa"/>
        <w:left w:w="15" w:type="dxa"/>
        <w:bottom w:w="15" w:type="dxa"/>
        <w:right w:w="15" w:type="dxa"/>
      </w:tblCellMar>
    </w:tblPr>
  </w:style>
  <w:style w:type="table" w:customStyle="1" w:styleId="34">
    <w:name w:val="_Style 33"/>
    <w:basedOn w:val="16"/>
    <w:qFormat/>
    <w:uiPriority w:val="0"/>
    <w:tblPr>
      <w:tblCellMar>
        <w:top w:w="15" w:type="dxa"/>
        <w:left w:w="15" w:type="dxa"/>
        <w:bottom w:w="15" w:type="dxa"/>
        <w:right w:w="15" w:type="dxa"/>
      </w:tblCellMar>
    </w:tblPr>
  </w:style>
  <w:style w:type="table" w:customStyle="1" w:styleId="35">
    <w:name w:val="_Style 34"/>
    <w:basedOn w:val="16"/>
    <w:qFormat/>
    <w:uiPriority w:val="0"/>
    <w:tblPr>
      <w:tblCellMar>
        <w:top w:w="15" w:type="dxa"/>
        <w:left w:w="15" w:type="dxa"/>
        <w:bottom w:w="15" w:type="dxa"/>
        <w:right w:w="15" w:type="dxa"/>
      </w:tblCellMar>
    </w:tblPr>
  </w:style>
  <w:style w:type="table" w:customStyle="1" w:styleId="36">
    <w:name w:val="_Style 35"/>
    <w:basedOn w:val="16"/>
    <w:uiPriority w:val="0"/>
    <w:tblPr>
      <w:tblCellMar>
        <w:top w:w="15" w:type="dxa"/>
        <w:left w:w="15" w:type="dxa"/>
        <w:bottom w:w="15" w:type="dxa"/>
        <w:right w:w="15" w:type="dxa"/>
      </w:tblCellMar>
    </w:tblPr>
  </w:style>
  <w:style w:type="table" w:customStyle="1" w:styleId="37">
    <w:name w:val="_Style 36"/>
    <w:basedOn w:val="16"/>
    <w:uiPriority w:val="0"/>
    <w:tblPr>
      <w:tblCellMar>
        <w:top w:w="15" w:type="dxa"/>
        <w:left w:w="15" w:type="dxa"/>
        <w:bottom w:w="15" w:type="dxa"/>
        <w:right w:w="15" w:type="dxa"/>
      </w:tblCellMar>
    </w:tblPr>
  </w:style>
  <w:style w:type="table" w:customStyle="1" w:styleId="38">
    <w:name w:val="_Style 37"/>
    <w:basedOn w:val="16"/>
    <w:qFormat/>
    <w:uiPriority w:val="0"/>
    <w:tblPr>
      <w:tblCellMar>
        <w:top w:w="15" w:type="dxa"/>
        <w:left w:w="15" w:type="dxa"/>
        <w:bottom w:w="15" w:type="dxa"/>
        <w:right w:w="15" w:type="dxa"/>
      </w:tblCellMar>
    </w:tblPr>
  </w:style>
  <w:style w:type="table" w:customStyle="1" w:styleId="39">
    <w:name w:val="_Style 38"/>
    <w:basedOn w:val="16"/>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2492</Words>
  <Characters>14208</Characters>
  <Lines>118</Lines>
  <Paragraphs>33</Paragraphs>
  <TotalTime>10</TotalTime>
  <ScaleCrop>false</ScaleCrop>
  <LinksUpToDate>false</LinksUpToDate>
  <CharactersWithSpaces>16667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2024-02-18T12:12:00Z</dcterms:created>
  <dc:creator>Кристина Белякова</dc:creator>
  <cp:lastModifiedBy>user</cp:lastModifiedBy>
  <dcterms:modified xsi:type="dcterms:W3CDTF">2024-02-18T16:57:41Z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76F2C09F036140E6B3C2DD5C9B7C6040_12</vt:lpwstr>
  </property>
</Properties>
</file>