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83" w:rsidRPr="00A028AA" w:rsidRDefault="00750F83" w:rsidP="00750F83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28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Додаток </w:t>
      </w:r>
      <w:r w:rsidR="001406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 w:rsidRPr="00A028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750F83" w:rsidRDefault="00750F83" w:rsidP="00750F83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028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 тендерної документації</w:t>
      </w:r>
    </w:p>
    <w:p w:rsidR="00411933" w:rsidRPr="00E81A08" w:rsidRDefault="00411933" w:rsidP="00411933">
      <w:pPr>
        <w:jc w:val="center"/>
        <w:rPr>
          <w:rFonts w:ascii="Times New Roman" w:hAnsi="Times New Roman"/>
          <w:b/>
          <w:sz w:val="24"/>
          <w:szCs w:val="28"/>
        </w:rPr>
      </w:pPr>
      <w:r w:rsidRPr="00E81A08">
        <w:rPr>
          <w:rFonts w:ascii="Times New Roman" w:hAnsi="Times New Roman"/>
          <w:b/>
          <w:sz w:val="24"/>
          <w:szCs w:val="28"/>
        </w:rPr>
        <w:t>Системний блок Intel Core i5, RAM 16 ГБ DDR4, SSD 512 ГБ, блок живлення 500Wt +  (HDD 1</w:t>
      </w:r>
      <w:bookmarkStart w:id="0" w:name="_GoBack"/>
      <w:bookmarkEnd w:id="0"/>
      <w:r w:rsidRPr="00E81A08">
        <w:rPr>
          <w:rFonts w:ascii="Times New Roman" w:hAnsi="Times New Roman"/>
          <w:b/>
          <w:sz w:val="24"/>
          <w:szCs w:val="28"/>
        </w:rPr>
        <w:t>TB)   (материнська плата ASUS) - або аналог</w:t>
      </w:r>
    </w:p>
    <w:p w:rsidR="00F4742D" w:rsidRPr="00F4742D" w:rsidRDefault="00F4742D" w:rsidP="00F4742D">
      <w:pPr>
        <w:jc w:val="center"/>
        <w:rPr>
          <w:rStyle w:val="a6"/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Cs w:val="28"/>
          <w:bdr w:val="none" w:sz="0" w:space="0" w:color="auto" w:frame="1"/>
          <w:shd w:val="clear" w:color="auto" w:fill="FDFEFD"/>
        </w:rPr>
        <w:t xml:space="preserve">ДК 021-2015: </w:t>
      </w:r>
      <w:r w:rsidRPr="000F743E">
        <w:rPr>
          <w:rFonts w:ascii="Times New Roman" w:hAnsi="Times New Roman"/>
          <w:b/>
          <w:color w:val="000000"/>
          <w:szCs w:val="28"/>
          <w:bdr w:val="none" w:sz="0" w:space="0" w:color="auto" w:frame="1"/>
          <w:shd w:val="clear" w:color="auto" w:fill="FDFEFD"/>
        </w:rPr>
        <w:t>30210000-4</w:t>
      </w:r>
      <w:r w:rsidRPr="000F743E">
        <w:rPr>
          <w:rFonts w:ascii="Times New Roman" w:hAnsi="Times New Roman"/>
          <w:b/>
          <w:color w:val="777777"/>
          <w:szCs w:val="28"/>
          <w:shd w:val="clear" w:color="auto" w:fill="FDFEFD"/>
        </w:rPr>
        <w:t> - </w:t>
      </w:r>
      <w:r w:rsidRPr="000F743E">
        <w:rPr>
          <w:rFonts w:ascii="Times New Roman" w:hAnsi="Times New Roman"/>
          <w:b/>
          <w:color w:val="000000"/>
          <w:szCs w:val="28"/>
          <w:bdr w:val="none" w:sz="0" w:space="0" w:color="auto" w:frame="1"/>
          <w:shd w:val="clear" w:color="auto" w:fill="FDFEFD"/>
        </w:rPr>
        <w:t>Машини для обробки даних (апаратна частина)</w:t>
      </w:r>
    </w:p>
    <w:p w:rsidR="00B526AB" w:rsidRDefault="00B526AB" w:rsidP="00750F83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15EAC" w:rsidRPr="00B51040" w:rsidRDefault="00715EAC" w:rsidP="00715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/>
          <w:b/>
          <w:color w:val="000000"/>
        </w:rPr>
      </w:pPr>
      <w:r w:rsidRPr="00B51040">
        <w:rPr>
          <w:rFonts w:ascii="Times New Roman" w:hAnsi="Times New Roman"/>
          <w:b/>
          <w:color w:val="000000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 пунктами 3, 5, 6, 12 </w:t>
      </w:r>
      <w:r w:rsidRPr="00B51040">
        <w:rPr>
          <w:rFonts w:ascii="Times New Roman" w:hAnsi="Times New Roman"/>
          <w:b/>
        </w:rPr>
        <w:t xml:space="preserve">та </w:t>
      </w:r>
      <w:r>
        <w:rPr>
          <w:rFonts w:ascii="Times New Roman" w:hAnsi="Times New Roman"/>
          <w:b/>
        </w:rPr>
        <w:t xml:space="preserve"> абзацу чотирнадцятого пункту 47</w:t>
      </w:r>
      <w:r w:rsidRPr="00B51040">
        <w:rPr>
          <w:rFonts w:ascii="Times New Roman" w:hAnsi="Times New Roman"/>
          <w:b/>
        </w:rPr>
        <w:t xml:space="preserve"> Особливостей</w:t>
      </w:r>
      <w:r w:rsidRPr="00B51040">
        <w:rPr>
          <w:rFonts w:ascii="Times New Roman" w:hAnsi="Times New Roman"/>
          <w:b/>
          <w:color w:val="000000"/>
        </w:rPr>
        <w:t>, а саме:</w:t>
      </w:r>
      <w:r w:rsidR="00DC4083">
        <w:rPr>
          <w:rFonts w:ascii="Times New Roman" w:hAnsi="Times New Roman"/>
          <w:b/>
          <w:color w:val="000000"/>
        </w:rPr>
        <w:t xml:space="preserve"> </w:t>
      </w:r>
      <w:r w:rsidR="00F140AE">
        <w:rPr>
          <w:rFonts w:ascii="Times New Roman" w:hAnsi="Times New Roman"/>
          <w:b/>
          <w:color w:val="000000"/>
        </w:rPr>
        <w:t xml:space="preserve"> </w:t>
      </w:r>
      <w:r w:rsidR="00FB1957">
        <w:rPr>
          <w:rFonts w:ascii="Times New Roman" w:hAnsi="Times New Roman"/>
          <w:b/>
          <w:color w:val="000000"/>
        </w:rPr>
        <w:t xml:space="preserve"> </w:t>
      </w:r>
    </w:p>
    <w:p w:rsidR="00B526AB" w:rsidRDefault="009A0373" w:rsidP="00B526A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A03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26AB">
        <w:rPr>
          <w:rFonts w:ascii="Times New Roman" w:hAnsi="Times New Roman"/>
          <w:b/>
          <w:bCs/>
          <w:sz w:val="24"/>
          <w:szCs w:val="24"/>
        </w:rPr>
        <w:t>Підстави для відмови в участі у процедурі закупівлі</w:t>
      </w:r>
    </w:p>
    <w:tbl>
      <w:tblPr>
        <w:tblW w:w="1077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548"/>
        <w:gridCol w:w="2977"/>
        <w:gridCol w:w="3686"/>
      </w:tblGrid>
      <w:tr w:rsidR="00B526AB" w:rsidRPr="00065900" w:rsidTr="00313B6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Підстави для відмови в участі у процедурі закупівлі</w:t>
            </w:r>
          </w:p>
          <w:p w:rsidR="00B526AB" w:rsidRPr="00690483" w:rsidRDefault="00B526AB" w:rsidP="00313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26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Учасник</w:t>
            </w:r>
            <w:r w:rsidRPr="00690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6E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Переможець</w:t>
            </w:r>
            <w:r w:rsidRPr="00690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B526AB" w:rsidRPr="00690483" w:rsidTr="00313B6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69048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1 пункту 47 Особливостей</w:t>
            </w:r>
            <w:r w:rsidRPr="006904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B" w:rsidRPr="00B975A5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75A5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975A5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підстав, визначених </w:t>
            </w:r>
            <w:r w:rsidRPr="00B975A5">
              <w:rPr>
                <w:rFonts w:ascii="Times New Roman" w:hAnsi="Times New Roman"/>
                <w:i/>
                <w:iCs/>
                <w:sz w:val="24"/>
                <w:szCs w:val="24"/>
              </w:rPr>
              <w:t>підпунктом 1 пункту 47 Особливостей</w:t>
            </w:r>
          </w:p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  <w:p w:rsidR="00B526AB" w:rsidRPr="00B975A5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6AB" w:rsidRPr="00C535CC" w:rsidTr="00313B6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2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процедури закупівлі має надати витяг або інформаційну довідку з Єдиного державного реєстру осіб,</w:t>
            </w:r>
            <w:r w:rsidRPr="00727CD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які вчинили корупційні або пов’язані з корупцією правопорушення про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те, що</w:t>
            </w:r>
            <w:r w:rsidRPr="00727CD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юридичну особу, яка є учасником процедури закупівлі, </w:t>
            </w:r>
            <w:r w:rsidRPr="00521A7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не внесено</w:t>
            </w:r>
            <w:r w:rsidRPr="00727CD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</w:tc>
      </w:tr>
      <w:tr w:rsidR="00B526AB" w:rsidRPr="00065900" w:rsidTr="00313B67">
        <w:trPr>
          <w:trHeight w:val="339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3 пункту 47 Особливостей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27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правопорушення , який / яка оформлена на </w:t>
            </w:r>
            <w:r w:rsidRPr="00727CD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керівника* учасника процедури закупівлі або фізичну особу, яка є учасником процедури закупівлі</w:t>
            </w:r>
          </w:p>
        </w:tc>
      </w:tr>
      <w:tr w:rsidR="00B526AB" w:rsidRPr="00690483" w:rsidTr="00313B6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суб’єкт господарювання (учасник процедури закупівлі) протягом останніх трьох років притягувався до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відповідальності за порушення, передбачене пунктом 4 частини другої статті 6, пунктом 1 статті 50 Закону України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 захист економічної конкуренції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у вигляді вчинення антиконкурентних узгоджених дій, що стосуються спотворення результатів тендерів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4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B526AB" w:rsidRPr="00065900" w:rsidTr="00313B6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5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фізична особа, яка є учасником процедури закупівлі до кримінальної відповідальності не притягується, незнятої чи непогашеної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судимості не має та в розшуку не перебуває.</w:t>
            </w:r>
          </w:p>
        </w:tc>
      </w:tr>
      <w:tr w:rsidR="00B526AB" w:rsidRPr="00065900" w:rsidTr="00313B6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(підпункт 6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учасника процедури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B526AB" w:rsidRPr="00690483" w:rsidTr="00313B6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7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B" w:rsidRPr="00B975A5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75A5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</w:t>
            </w:r>
            <w: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975A5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підстав, визначених </w:t>
            </w:r>
            <w:r w:rsidRPr="00B975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підпунктом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Pr="00B975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пункту 47 Особливостей</w:t>
            </w:r>
          </w:p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6AB" w:rsidRPr="00690483" w:rsidTr="00313B6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8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B526AB" w:rsidRPr="00690483" w:rsidTr="00313B6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9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B526AB" w:rsidRPr="0033797E" w:rsidTr="00313B6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363150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10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5B0C07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B526AB" w:rsidRPr="00690483" w:rsidTr="00313B6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D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учасник процедури закупівлі або кінцевий бенефіціарний власник, член або учасник (акціонер) юридичної особи – учасника процедури закупівлі є </w:t>
            </w:r>
            <w:r w:rsidRPr="002B6D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особою, до якої застосовано санкцію у вигляді заборони на здійснення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D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D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неї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B6D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публічних закупівель товарів, робіт і послуг згідно із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B6D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Законом України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B6D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«Про санкції», крім випадку, коли активи такої особи в установленому законодавством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B6D3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порядку передані в управління АРМА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B526AB" w:rsidRPr="00065900" w:rsidTr="00313B6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(підпункт 12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керівника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учасника процедури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фізичну особу, яка є учасником до кримінальної відповідальності не притягується, незнятої чи непогашеної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судимості не має та в розшуку не перебуває.</w:t>
            </w:r>
          </w:p>
        </w:tc>
      </w:tr>
      <w:tr w:rsidR="00B526AB" w:rsidRPr="00065900" w:rsidTr="00313B67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363150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3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</w:t>
            </w:r>
            <w:r w:rsidRPr="00363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(абзац 14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363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Особливостей)</w:t>
            </w:r>
          </w:p>
          <w:p w:rsidR="00B526AB" w:rsidRPr="00690483" w:rsidRDefault="00B526AB" w:rsidP="00313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6AB" w:rsidRPr="00690483" w:rsidRDefault="00B526AB" w:rsidP="00313B6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процедури закупівлі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має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</w:rPr>
              <w:t>надати:</w:t>
            </w:r>
          </w:p>
          <w:p w:rsidR="00B526AB" w:rsidRPr="00690483" w:rsidRDefault="00B526AB" w:rsidP="00B526AB">
            <w:pPr>
              <w:numPr>
                <w:ilvl w:val="0"/>
                <w:numId w:val="4"/>
              </w:numPr>
              <w:spacing w:after="0" w:line="240" w:lineRule="auto"/>
              <w:ind w:left="410" w:right="5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B526AB" w:rsidRPr="00690483" w:rsidRDefault="00B526AB" w:rsidP="00313B67">
            <w:pPr>
              <w:spacing w:after="0" w:line="240" w:lineRule="auto"/>
              <w:ind w:left="50" w:right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</w:p>
          <w:p w:rsidR="00B526AB" w:rsidRPr="00690483" w:rsidRDefault="00B526AB" w:rsidP="00B526AB">
            <w:pPr>
              <w:numPr>
                <w:ilvl w:val="0"/>
                <w:numId w:val="4"/>
              </w:numPr>
              <w:spacing w:after="0" w:line="240" w:lineRule="auto"/>
              <w:ind w:left="410" w:right="5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</w:rPr>
              <w:t xml:space="preserve">учасник процедури закупівлі, що перебуває в обставинах, зазначених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абзаці 14 пункту 47 Особливостей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</w:rPr>
              <w:t xml:space="preserve">, може надати підтвердження вжиття заходів для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доведення своєї надійності, незважаючи на наявність відповідної підстави для відмови в участі 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відкритих торгах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</w:rPr>
              <w:t>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</w:p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26AB" w:rsidRPr="00690483" w:rsidRDefault="00B526AB" w:rsidP="00313B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Переможець процедури закупівлі, що перебуває в обставинах, зазначених </w:t>
            </w:r>
            <w:r w:rsidRPr="000B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абзаці 14 пункті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B4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Особливостей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зобов’язання та відшкодування завданих збитків.</w:t>
            </w:r>
          </w:p>
        </w:tc>
      </w:tr>
    </w:tbl>
    <w:p w:rsidR="00B526AB" w:rsidRDefault="00B526AB" w:rsidP="00B526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6AB" w:rsidRPr="0073685F" w:rsidRDefault="00B526AB" w:rsidP="00B526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 підстави, встановлені пунктом 47 Особливостей.</w:t>
      </w:r>
    </w:p>
    <w:p w:rsidR="00B526AB" w:rsidRPr="0073685F" w:rsidRDefault="00B526AB" w:rsidP="00B526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85F">
        <w:rPr>
          <w:rFonts w:ascii="Times New Roman" w:hAnsi="Times New Roman"/>
          <w:sz w:val="24"/>
          <w:szCs w:val="24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</w:t>
      </w:r>
      <w:r>
        <w:rPr>
          <w:rFonts w:ascii="Times New Roman" w:hAnsi="Times New Roman"/>
          <w:sz w:val="24"/>
          <w:szCs w:val="24"/>
        </w:rPr>
        <w:t>підпунктами 3,5,6,12 та в абзаці 14 пункту 47 Особливостей, або надав документи,</w:t>
      </w:r>
      <w:r w:rsidRPr="0073685F">
        <w:rPr>
          <w:rFonts w:ascii="Times New Roman" w:hAnsi="Times New Roman"/>
          <w:sz w:val="24"/>
          <w:szCs w:val="24"/>
        </w:rPr>
        <w:t xml:space="preserve">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</w:t>
      </w:r>
      <w:r>
        <w:rPr>
          <w:rFonts w:ascii="Times New Roman" w:hAnsi="Times New Roman"/>
          <w:sz w:val="24"/>
          <w:szCs w:val="24"/>
        </w:rPr>
        <w:t>відритих торгах,</w:t>
      </w:r>
      <w:r w:rsidRPr="0073685F">
        <w:rPr>
          <w:rFonts w:ascii="Times New Roman" w:hAnsi="Times New Roman"/>
          <w:sz w:val="24"/>
          <w:szCs w:val="24"/>
        </w:rPr>
        <w:t xml:space="preserve"> визначені пунктом </w:t>
      </w:r>
      <w:bookmarkStart w:id="1" w:name="_Hlk144890205"/>
      <w:r>
        <w:rPr>
          <w:rFonts w:ascii="Times New Roman" w:hAnsi="Times New Roman"/>
          <w:sz w:val="24"/>
          <w:szCs w:val="24"/>
        </w:rPr>
        <w:t xml:space="preserve">3 та/або 5 та/або </w:t>
      </w:r>
      <w:bookmarkEnd w:id="1"/>
      <w:r>
        <w:rPr>
          <w:rFonts w:ascii="Times New Roman" w:hAnsi="Times New Roman"/>
          <w:sz w:val="24"/>
          <w:szCs w:val="24"/>
        </w:rPr>
        <w:t>6 та/або 12 та/або абзацом 14 пункту 47</w:t>
      </w:r>
      <w:r w:rsidRPr="0073685F">
        <w:rPr>
          <w:rFonts w:ascii="Times New Roman" w:hAnsi="Times New Roman"/>
          <w:sz w:val="24"/>
          <w:szCs w:val="24"/>
        </w:rPr>
        <w:t xml:space="preserve"> Особливостей, </w:t>
      </w:r>
      <w:r>
        <w:rPr>
          <w:rFonts w:ascii="Times New Roman" w:hAnsi="Times New Roman"/>
          <w:sz w:val="24"/>
          <w:szCs w:val="24"/>
        </w:rPr>
        <w:t>замовник відхиляє його на підставі абзацу 3 підпункту 3 пункту 44 Особливостей, а саме: переможець процедури закупівлі не надав  у спосіб зазначений в тендерній документації, документи, що підтверджують відсутність підстав, визначених у пунктах 3,5,6 і 12 та в абзаці 14 пункту 47 Особливостей.</w:t>
      </w:r>
    </w:p>
    <w:sectPr w:rsidR="00B526AB" w:rsidRPr="0073685F" w:rsidSect="004119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31"/>
        </w:tabs>
        <w:ind w:left="46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"/>
        </w:tabs>
        <w:ind w:left="60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1"/>
        </w:tabs>
        <w:ind w:left="75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1"/>
        </w:tabs>
        <w:ind w:left="89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"/>
        </w:tabs>
        <w:ind w:left="103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1"/>
        </w:tabs>
        <w:ind w:left="118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1"/>
        </w:tabs>
        <w:ind w:left="132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"/>
        </w:tabs>
        <w:ind w:left="147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1"/>
        </w:tabs>
        <w:ind w:left="1615" w:hanging="1584"/>
      </w:pPr>
    </w:lvl>
  </w:abstractNum>
  <w:abstractNum w:abstractNumId="2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23831"/>
    <w:multiLevelType w:val="multilevel"/>
    <w:tmpl w:val="F8A43F18"/>
    <w:lvl w:ilvl="0">
      <w:start w:val="1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83"/>
    <w:rsid w:val="001172DE"/>
    <w:rsid w:val="001406BC"/>
    <w:rsid w:val="00411933"/>
    <w:rsid w:val="00535224"/>
    <w:rsid w:val="006B619D"/>
    <w:rsid w:val="00715EAC"/>
    <w:rsid w:val="007218A0"/>
    <w:rsid w:val="00750F83"/>
    <w:rsid w:val="00770CBE"/>
    <w:rsid w:val="00834DD9"/>
    <w:rsid w:val="00877BEC"/>
    <w:rsid w:val="008C20E1"/>
    <w:rsid w:val="009926E2"/>
    <w:rsid w:val="009A0373"/>
    <w:rsid w:val="00A57842"/>
    <w:rsid w:val="00B526AB"/>
    <w:rsid w:val="00B74EC4"/>
    <w:rsid w:val="00C44411"/>
    <w:rsid w:val="00D36180"/>
    <w:rsid w:val="00DC4083"/>
    <w:rsid w:val="00E55AB6"/>
    <w:rsid w:val="00E81A08"/>
    <w:rsid w:val="00F140AE"/>
    <w:rsid w:val="00F4742D"/>
    <w:rsid w:val="00F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F2012-EAFF-4422-8C79-1D3E59BB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83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1"/>
    <w:qFormat/>
    <w:rsid w:val="00535224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contextualSpacing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77BEC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352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11">
    <w:name w:val="Заголовок 1 Знак1"/>
    <w:link w:val="1"/>
    <w:locked/>
    <w:rsid w:val="0053522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paragraph" w:customStyle="1" w:styleId="a3">
    <w:name w:val="Нормальний текст"/>
    <w:basedOn w:val="a"/>
    <w:rsid w:val="00715EA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19D"/>
    <w:rPr>
      <w:rFonts w:ascii="Segoe UI" w:eastAsia="Calibri" w:hAnsi="Segoe UI" w:cs="Segoe UI"/>
      <w:sz w:val="18"/>
      <w:szCs w:val="18"/>
      <w:lang w:val="uk-UA"/>
    </w:rPr>
  </w:style>
  <w:style w:type="character" w:customStyle="1" w:styleId="40">
    <w:name w:val="Заголовок 4 Знак"/>
    <w:basedOn w:val="a0"/>
    <w:link w:val="4"/>
    <w:uiPriority w:val="9"/>
    <w:rsid w:val="00877B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Strong"/>
    <w:basedOn w:val="a0"/>
    <w:uiPriority w:val="22"/>
    <w:qFormat/>
    <w:rsid w:val="00F47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2024-03-27T07:18:00Z</cp:lastPrinted>
  <dcterms:created xsi:type="dcterms:W3CDTF">2023-11-14T13:13:00Z</dcterms:created>
  <dcterms:modified xsi:type="dcterms:W3CDTF">2024-03-27T07:18:00Z</dcterms:modified>
</cp:coreProperties>
</file>