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91" w:rsidRPr="00F86E86" w:rsidRDefault="00011A91" w:rsidP="00011A91">
      <w:pPr>
        <w:pStyle w:val="3"/>
        <w:rPr>
          <w:sz w:val="24"/>
        </w:rPr>
      </w:pPr>
      <w:r w:rsidRPr="00F86E86">
        <w:rPr>
          <w:sz w:val="24"/>
        </w:rPr>
        <w:t>ПРОТОКОЛЬНЕ РІШЕННЯ (ПРОТОКОЛ)</w:t>
      </w:r>
    </w:p>
    <w:p w:rsidR="00011A91" w:rsidRPr="00F86E86" w:rsidRDefault="00011A91" w:rsidP="00011A91">
      <w:pPr>
        <w:jc w:val="center"/>
        <w:rPr>
          <w:b/>
          <w:bCs/>
        </w:rPr>
      </w:pPr>
      <w:r w:rsidRPr="00F86E86">
        <w:rPr>
          <w:b/>
          <w:bCs/>
        </w:rPr>
        <w:t>Уповноваженої особи з питань закупівель товарів, робіт і послуг АТ «</w:t>
      </w:r>
      <w:r w:rsidR="00853A0A">
        <w:rPr>
          <w:b/>
          <w:bCs/>
        </w:rPr>
        <w:t>Прикарпаття</w:t>
      </w:r>
      <w:r w:rsidRPr="00F86E86">
        <w:rPr>
          <w:b/>
          <w:bCs/>
        </w:rPr>
        <w:t>бленерго»</w:t>
      </w:r>
    </w:p>
    <w:p w:rsidR="00011A91" w:rsidRPr="00F86E86" w:rsidRDefault="00011A91" w:rsidP="00011A91">
      <w:pPr>
        <w:jc w:val="center"/>
        <w:rPr>
          <w:b/>
          <w:bCs/>
        </w:rPr>
      </w:pPr>
      <w:r w:rsidRPr="00F86E86">
        <w:rPr>
          <w:b/>
          <w:bCs/>
        </w:rPr>
        <w:t>про внесення змін до тендерної документації</w:t>
      </w:r>
    </w:p>
    <w:p w:rsidR="00011A91" w:rsidRPr="001054E2" w:rsidRDefault="00011A91" w:rsidP="00011A91">
      <w:pPr>
        <w:tabs>
          <w:tab w:val="left" w:pos="8931"/>
        </w:tabs>
        <w:jc w:val="both"/>
        <w:rPr>
          <w:b/>
          <w:bCs/>
          <w:lang w:val="en-US"/>
        </w:rPr>
      </w:pPr>
      <w:r w:rsidRPr="00853A0A">
        <w:rPr>
          <w:b/>
          <w:bCs/>
          <w:color w:val="000000" w:themeColor="text1"/>
        </w:rPr>
        <w:t xml:space="preserve">від </w:t>
      </w:r>
      <w:r w:rsidR="00E31900">
        <w:rPr>
          <w:b/>
          <w:bCs/>
          <w:color w:val="000000" w:themeColor="text1"/>
        </w:rPr>
        <w:t>19</w:t>
      </w:r>
      <w:r w:rsidR="00853A0A" w:rsidRPr="00853A0A">
        <w:rPr>
          <w:b/>
          <w:bCs/>
          <w:color w:val="000000" w:themeColor="text1"/>
        </w:rPr>
        <w:t xml:space="preserve"> січня 2024</w:t>
      </w:r>
      <w:r w:rsidRPr="00853A0A">
        <w:rPr>
          <w:b/>
          <w:bCs/>
          <w:color w:val="000000" w:themeColor="text1"/>
        </w:rPr>
        <w:t xml:space="preserve"> </w:t>
      </w:r>
      <w:r w:rsidRPr="00F86E86">
        <w:rPr>
          <w:b/>
          <w:bCs/>
        </w:rPr>
        <w:t>р.</w:t>
      </w:r>
      <w:r w:rsidRPr="00F86E86">
        <w:rPr>
          <w:b/>
          <w:bCs/>
        </w:rPr>
        <w:tab/>
        <w:t>№</w:t>
      </w:r>
      <w:r w:rsidR="00AE0906">
        <w:rPr>
          <w:b/>
          <w:bCs/>
        </w:rPr>
        <w:t xml:space="preserve"> </w:t>
      </w:r>
      <w:r w:rsidR="00E31900">
        <w:rPr>
          <w:b/>
          <w:bCs/>
        </w:rPr>
        <w:t>22/1</w:t>
      </w:r>
    </w:p>
    <w:p w:rsidR="00011A91" w:rsidRPr="00F86E86" w:rsidRDefault="00011A91" w:rsidP="00AE0906">
      <w:pPr>
        <w:pStyle w:val="a3"/>
        <w:jc w:val="left"/>
        <w:rPr>
          <w:sz w:val="24"/>
        </w:rPr>
      </w:pPr>
      <w:r w:rsidRPr="00F86E86">
        <w:rPr>
          <w:sz w:val="24"/>
        </w:rPr>
        <w:t xml:space="preserve">м. </w:t>
      </w:r>
      <w:r w:rsidR="00AE0906">
        <w:rPr>
          <w:sz w:val="24"/>
        </w:rPr>
        <w:t>Івано-Франківськ</w:t>
      </w:r>
    </w:p>
    <w:p w:rsidR="00011A91" w:rsidRPr="00F86E86" w:rsidRDefault="00011A91" w:rsidP="00011A91">
      <w:pPr>
        <w:tabs>
          <w:tab w:val="left" w:pos="567"/>
        </w:tabs>
        <w:jc w:val="both"/>
      </w:pPr>
      <w:r w:rsidRPr="00F86E86">
        <w:rPr>
          <w:b/>
        </w:rPr>
        <w:t>1.</w:t>
      </w:r>
      <w:r w:rsidRPr="00F86E86">
        <w:rPr>
          <w:b/>
        </w:rPr>
        <w:tab/>
        <w:t>Найменування замовника:</w:t>
      </w:r>
      <w:r w:rsidRPr="00F86E86">
        <w:rPr>
          <w:bCs/>
        </w:rPr>
        <w:t xml:space="preserve"> Приватне акціонерне товариство «</w:t>
      </w:r>
      <w:r w:rsidR="00AE0906">
        <w:rPr>
          <w:bCs/>
        </w:rPr>
        <w:t>Прикарпаття</w:t>
      </w:r>
      <w:r w:rsidRPr="00F86E86">
        <w:rPr>
          <w:bCs/>
        </w:rPr>
        <w:t>обленерго».</w:t>
      </w:r>
    </w:p>
    <w:p w:rsidR="00011A91" w:rsidRPr="00F86E86" w:rsidRDefault="00011A91" w:rsidP="00011A91">
      <w:pPr>
        <w:tabs>
          <w:tab w:val="left" w:pos="567"/>
        </w:tabs>
        <w:jc w:val="both"/>
      </w:pPr>
      <w:r w:rsidRPr="00F86E86">
        <w:rPr>
          <w:b/>
        </w:rPr>
        <w:t>2.</w:t>
      </w:r>
      <w:r w:rsidRPr="00F86E86">
        <w:rPr>
          <w:b/>
        </w:rPr>
        <w:tab/>
        <w:t>Ідентифікаційний код замовника в Єдиному державному реєстрі юридичних осіб, фізичних осіб - підприємців та громадських формувань:</w:t>
      </w:r>
      <w:r w:rsidRPr="00F86E86">
        <w:t xml:space="preserve"> </w:t>
      </w:r>
      <w:r w:rsidRPr="00F86E86">
        <w:rPr>
          <w:bCs/>
        </w:rPr>
        <w:t>001315</w:t>
      </w:r>
      <w:r w:rsidR="00AE0906">
        <w:rPr>
          <w:bCs/>
        </w:rPr>
        <w:t>64</w:t>
      </w:r>
      <w:r w:rsidRPr="00F86E86">
        <w:t>.</w:t>
      </w:r>
    </w:p>
    <w:p w:rsidR="00011A91" w:rsidRPr="00F86E86" w:rsidRDefault="00011A91" w:rsidP="00011A91">
      <w:pPr>
        <w:tabs>
          <w:tab w:val="left" w:pos="567"/>
        </w:tabs>
        <w:jc w:val="both"/>
      </w:pPr>
      <w:r w:rsidRPr="00F86E86">
        <w:rPr>
          <w:b/>
        </w:rPr>
        <w:t>3.</w:t>
      </w:r>
      <w:r w:rsidRPr="00F86E86">
        <w:rPr>
          <w:b/>
        </w:rPr>
        <w:tab/>
        <w:t>Місцезнаходження замовника</w:t>
      </w:r>
      <w:r w:rsidRPr="00F86E86">
        <w:rPr>
          <w:b/>
          <w:bCs/>
        </w:rPr>
        <w:t>:</w:t>
      </w:r>
      <w:r w:rsidRPr="00F86E86">
        <w:rPr>
          <w:bCs/>
        </w:rPr>
        <w:t xml:space="preserve"> вул. </w:t>
      </w:r>
      <w:r w:rsidR="00AE0906">
        <w:rPr>
          <w:bCs/>
        </w:rPr>
        <w:t>Індустріальна</w:t>
      </w:r>
      <w:r w:rsidRPr="00F86E86">
        <w:rPr>
          <w:bCs/>
        </w:rPr>
        <w:t>, буд. 3</w:t>
      </w:r>
      <w:r w:rsidR="00AE0906">
        <w:rPr>
          <w:bCs/>
        </w:rPr>
        <w:t>4</w:t>
      </w:r>
      <w:r w:rsidRPr="00F86E86">
        <w:rPr>
          <w:bCs/>
        </w:rPr>
        <w:t>,</w:t>
      </w:r>
      <w:r w:rsidRPr="00F86E86">
        <w:rPr>
          <w:bCs/>
          <w:lang w:val="ru-RU"/>
        </w:rPr>
        <w:t xml:space="preserve"> </w:t>
      </w:r>
      <w:r w:rsidRPr="00F86E86">
        <w:rPr>
          <w:bCs/>
        </w:rPr>
        <w:t xml:space="preserve">м. </w:t>
      </w:r>
      <w:r w:rsidR="00AE0906">
        <w:rPr>
          <w:bCs/>
        </w:rPr>
        <w:t>Івано-Франківськ</w:t>
      </w:r>
      <w:r w:rsidRPr="00F86E86">
        <w:rPr>
          <w:bCs/>
        </w:rPr>
        <w:t xml:space="preserve">, </w:t>
      </w:r>
      <w:r w:rsidR="00AE0906">
        <w:rPr>
          <w:bCs/>
        </w:rPr>
        <w:t>76014</w:t>
      </w:r>
      <w:r w:rsidRPr="00F86E86">
        <w:t>.</w:t>
      </w:r>
    </w:p>
    <w:p w:rsidR="00011A91" w:rsidRPr="00F86E86" w:rsidRDefault="00011A91" w:rsidP="00011A91">
      <w:pPr>
        <w:tabs>
          <w:tab w:val="left" w:pos="567"/>
        </w:tabs>
        <w:jc w:val="both"/>
      </w:pPr>
      <w:r w:rsidRPr="00F86E86">
        <w:rPr>
          <w:b/>
        </w:rPr>
        <w:t>4.</w:t>
      </w:r>
      <w:r w:rsidRPr="00F86E86">
        <w:rPr>
          <w:b/>
        </w:rPr>
        <w:tab/>
        <w:t xml:space="preserve">Категорія замовника: </w:t>
      </w:r>
      <w:r w:rsidRPr="00F86E86">
        <w:rPr>
          <w:shd w:val="clear" w:color="auto" w:fill="FFFFFF"/>
        </w:rPr>
        <w:t>юридичні особи та/або суб’єкти господарювання, які здійснюють діяльність в одній або декількох окремих сферах господарювання</w:t>
      </w:r>
      <w:r w:rsidRPr="00F86E86">
        <w:t xml:space="preserve"> (відповідно до </w:t>
      </w:r>
      <w:hyperlink r:id="rId7" w:anchor="n795" w:history="1">
        <w:r w:rsidRPr="00F86E86">
          <w:t>п</w:t>
        </w:r>
      </w:hyperlink>
      <w:r w:rsidRPr="00F86E86">
        <w:t>ункту 4 частини четвертої статті 2 Закону України «Про публічні закупівлі» від 25 грудня 2015 р. №922-VIІІ (із змінами) (далі – Закон).</w:t>
      </w:r>
    </w:p>
    <w:p w:rsidR="00011A91" w:rsidRPr="00F86E86" w:rsidRDefault="00011A91" w:rsidP="00011A91">
      <w:pPr>
        <w:tabs>
          <w:tab w:val="left" w:pos="567"/>
        </w:tabs>
        <w:jc w:val="both"/>
      </w:pPr>
      <w:r w:rsidRPr="00F86E86">
        <w:rPr>
          <w:b/>
        </w:rPr>
        <w:t>5.</w:t>
      </w:r>
      <w:r w:rsidRPr="00F86E86">
        <w:rPr>
          <w:b/>
        </w:rPr>
        <w:tab/>
        <w:t xml:space="preserve">Конкурентна процедура закупівлі: відкриті торги з особливостями </w:t>
      </w:r>
      <w:r w:rsidRPr="00F86E86">
        <w:rPr>
          <w:shd w:val="clear" w:color="auto" w:fill="FFFFFF"/>
        </w:rPr>
        <w:t>(відповідно до вимог Закону України «Про публічні закупівлі» від 25 грудня 2015 р. №922-VIІІ (із змінами)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w:t>
      </w:r>
      <w:r w:rsidRPr="00F86E86">
        <w:t>.</w:t>
      </w:r>
    </w:p>
    <w:p w:rsidR="00E31900" w:rsidRPr="00E31900" w:rsidRDefault="00011A91" w:rsidP="00E31900">
      <w:pPr>
        <w:spacing w:line="240" w:lineRule="atLeast"/>
        <w:jc w:val="both"/>
        <w:rPr>
          <w:rFonts w:ascii="Arial" w:hAnsi="Arial" w:cs="Arial"/>
          <w:color w:val="6D6D6D"/>
          <w:sz w:val="21"/>
          <w:szCs w:val="21"/>
          <w:lang w:eastAsia="uk-UA"/>
        </w:rPr>
      </w:pPr>
      <w:r w:rsidRPr="00F86E86">
        <w:rPr>
          <w:b/>
        </w:rPr>
        <w:t>6.</w:t>
      </w:r>
      <w:r w:rsidRPr="00F86E86">
        <w:rPr>
          <w:b/>
        </w:rPr>
        <w:tab/>
        <w:t>Унікальний номер оголошення про проведення відкритих торгів, присвоєний електронною системою закупівель</w:t>
      </w:r>
      <w:r w:rsidR="00BF129B">
        <w:rPr>
          <w:b/>
        </w:rPr>
        <w:t xml:space="preserve"> </w:t>
      </w:r>
      <w:hyperlink r:id="rId8" w:tgtFrame="_blank" w:tooltip="Оголошення на порталі Уповноваженого органу" w:history="1">
        <w:r w:rsidR="00E31900" w:rsidRPr="00E31900">
          <w:rPr>
            <w:rFonts w:ascii="Arial" w:hAnsi="Arial" w:cs="Arial"/>
            <w:color w:val="000000"/>
            <w:sz w:val="21"/>
            <w:szCs w:val="21"/>
            <w:u w:val="single"/>
            <w:bdr w:val="none" w:sz="0" w:space="0" w:color="auto" w:frame="1"/>
            <w:lang w:eastAsia="uk-UA"/>
          </w:rPr>
          <w:br/>
          <w:t>UA-2024-01-09-003250-a</w:t>
        </w:r>
      </w:hyperlink>
    </w:p>
    <w:p w:rsidR="00011A91" w:rsidRPr="00F86E86" w:rsidRDefault="00011A91" w:rsidP="00011A91">
      <w:pPr>
        <w:tabs>
          <w:tab w:val="left" w:pos="567"/>
        </w:tabs>
        <w:jc w:val="both"/>
        <w:rPr>
          <w:bCs/>
        </w:rPr>
      </w:pPr>
    </w:p>
    <w:p w:rsidR="00011A91" w:rsidRPr="00E31900" w:rsidRDefault="001054E2" w:rsidP="001054E2">
      <w:pPr>
        <w:rPr>
          <w:shd w:val="clear" w:color="auto" w:fill="FFFFFF"/>
        </w:rPr>
      </w:pPr>
      <w:r>
        <w:rPr>
          <w:b/>
        </w:rPr>
        <w:t>7.</w:t>
      </w:r>
      <w:r w:rsidR="00011A91" w:rsidRPr="00F86E86">
        <w:rPr>
          <w:b/>
        </w:rPr>
        <w:t xml:space="preserve">Назва предмета закупівлі </w:t>
      </w:r>
      <w:r w:rsidR="00011A91" w:rsidRPr="00F86E86">
        <w:rPr>
          <w:b/>
          <w:lang w:eastAsia="uk-UA"/>
        </w:rPr>
        <w:t>та частин предмета закупівлі (лотів)</w:t>
      </w:r>
      <w:r w:rsidR="00011A91" w:rsidRPr="00F86E86">
        <w:rPr>
          <w:b/>
          <w:bCs/>
        </w:rPr>
        <w:t xml:space="preserve"> (за наявності)</w:t>
      </w:r>
      <w:r w:rsidR="00011A91" w:rsidRPr="00F86E86">
        <w:rPr>
          <w:b/>
        </w:rPr>
        <w:t>:</w:t>
      </w:r>
      <w:r w:rsidR="00853A0A" w:rsidRPr="00853A0A">
        <w:rPr>
          <w:i/>
          <w:iCs/>
        </w:rPr>
        <w:t xml:space="preserve"> </w:t>
      </w:r>
      <w:r w:rsidR="00E31900" w:rsidRPr="00E31900">
        <w:rPr>
          <w:iCs/>
        </w:rPr>
        <w:t>Чоботи робочі, гумові, утеплені, туфлі, черевикі</w:t>
      </w:r>
    </w:p>
    <w:p w:rsidR="00011A91" w:rsidRPr="00F86E86" w:rsidRDefault="00011A91" w:rsidP="00011A91">
      <w:pPr>
        <w:tabs>
          <w:tab w:val="left" w:pos="426"/>
        </w:tabs>
        <w:jc w:val="both"/>
        <w:rPr>
          <w:bCs/>
        </w:rPr>
      </w:pPr>
    </w:p>
    <w:p w:rsidR="00011A91" w:rsidRPr="00F86E86" w:rsidRDefault="00011A91" w:rsidP="00011A91">
      <w:pPr>
        <w:pBdr>
          <w:top w:val="nil"/>
          <w:left w:val="nil"/>
          <w:bottom w:val="nil"/>
          <w:right w:val="nil"/>
          <w:between w:val="nil"/>
        </w:pBdr>
        <w:jc w:val="both"/>
        <w:rPr>
          <w:b/>
        </w:rPr>
      </w:pPr>
      <w:r w:rsidRPr="00F86E86">
        <w:rPr>
          <w:b/>
        </w:rPr>
        <w:t>ПОРЯДОК ДЕННИЙ:</w:t>
      </w:r>
    </w:p>
    <w:p w:rsidR="00011A91" w:rsidRPr="00F86E86" w:rsidRDefault="00853A0A" w:rsidP="00011A91">
      <w:pPr>
        <w:tabs>
          <w:tab w:val="left" w:pos="567"/>
        </w:tabs>
        <w:jc w:val="both"/>
      </w:pPr>
      <w:r>
        <w:t>1.</w:t>
      </w:r>
      <w:r w:rsidR="00011A91" w:rsidRPr="00F86E86">
        <w:tab/>
        <w:t>Внесення змін до тендерної документації.</w:t>
      </w:r>
    </w:p>
    <w:p w:rsidR="00011A91" w:rsidRPr="00F86E86" w:rsidRDefault="00853A0A" w:rsidP="00011A91">
      <w:pPr>
        <w:tabs>
          <w:tab w:val="left" w:pos="567"/>
        </w:tabs>
        <w:jc w:val="both"/>
        <w:rPr>
          <w:bCs/>
        </w:rPr>
      </w:pPr>
      <w:r>
        <w:t>2</w:t>
      </w:r>
      <w:r w:rsidR="00011A91" w:rsidRPr="00F86E86">
        <w:t>.</w:t>
      </w:r>
      <w:r w:rsidR="00011A91" w:rsidRPr="00F86E86">
        <w:tab/>
        <w:t xml:space="preserve">Оприлюднення </w:t>
      </w:r>
      <w:r w:rsidR="00011A91" w:rsidRPr="001A03E3">
        <w:rPr>
          <w:lang w:eastAsia="uk-UA"/>
        </w:rPr>
        <w:t>нової редакції тендерної документації</w:t>
      </w:r>
      <w:r w:rsidR="00011A91" w:rsidRPr="00F86E86">
        <w:rPr>
          <w:lang w:eastAsia="uk-UA"/>
        </w:rPr>
        <w:t xml:space="preserve"> </w:t>
      </w:r>
      <w:r w:rsidR="00011A91" w:rsidRPr="00F86E86">
        <w:t>та окремого документу</w:t>
      </w:r>
      <w:r w:rsidR="00011A91" w:rsidRPr="00F86E86">
        <w:rPr>
          <w:lang w:eastAsia="uk-UA"/>
        </w:rPr>
        <w:t xml:space="preserve"> з переліком змін, що вносяться,</w:t>
      </w:r>
      <w:r w:rsidR="00011A91" w:rsidRPr="00F86E86">
        <w:t xml:space="preserve"> в електронній системі закупівель відповідно до п</w:t>
      </w:r>
      <w:r w:rsidR="00011A91">
        <w:t>ункту</w:t>
      </w:r>
      <w:r w:rsidR="00011A91" w:rsidRPr="00F86E86">
        <w:t xml:space="preserve"> 51 Особливостей.</w:t>
      </w:r>
    </w:p>
    <w:p w:rsidR="00011A91" w:rsidRPr="00F86E86" w:rsidRDefault="00011A91" w:rsidP="00011A91">
      <w:pPr>
        <w:pStyle w:val="1"/>
        <w:spacing w:after="0" w:line="276" w:lineRule="auto"/>
        <w:ind w:left="0"/>
        <w:jc w:val="both"/>
        <w:rPr>
          <w:sz w:val="24"/>
          <w:szCs w:val="24"/>
        </w:rPr>
      </w:pPr>
    </w:p>
    <w:p w:rsidR="00011A91" w:rsidRPr="00F86E86" w:rsidRDefault="00011A91" w:rsidP="00011A91">
      <w:pPr>
        <w:spacing w:before="80"/>
        <w:rPr>
          <w:b/>
        </w:rPr>
      </w:pPr>
      <w:r w:rsidRPr="00F86E86">
        <w:rPr>
          <w:b/>
        </w:rPr>
        <w:t>Щодо першого питання порядку денного:</w:t>
      </w:r>
    </w:p>
    <w:p w:rsidR="00E31900" w:rsidRPr="00E31900" w:rsidRDefault="00011A91" w:rsidP="00E31900">
      <w:pPr>
        <w:jc w:val="both"/>
      </w:pPr>
      <w:r w:rsidRPr="00F86E86">
        <w:tab/>
      </w:r>
      <w:r w:rsidRPr="00F86E86">
        <w:tab/>
      </w:r>
      <w:r w:rsidR="00E31900" w:rsidRPr="00F86E86">
        <w:t xml:space="preserve">Відповідно </w:t>
      </w:r>
      <w:r w:rsidR="00E31900">
        <w:t>до пункту</w:t>
      </w:r>
      <w:r w:rsidR="00E31900" w:rsidRPr="00F86E86">
        <w:t xml:space="preserve"> 51 Особливостей </w:t>
      </w:r>
      <w:r w:rsidR="00E31900">
        <w:t>у</w:t>
      </w:r>
      <w:r w:rsidR="00E31900" w:rsidRPr="009D792C">
        <w:t xml:space="preserve"> разі внесення змін до тендерної документації </w:t>
      </w:r>
      <w:r w:rsidR="00E31900" w:rsidRPr="00E31900">
        <w:t>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rsidR="00E31900" w:rsidRPr="00E31900" w:rsidRDefault="00E31900" w:rsidP="00E31900">
      <w:pPr>
        <w:ind w:firstLine="708"/>
        <w:jc w:val="both"/>
      </w:pPr>
      <w:r w:rsidRPr="00E31900">
        <w:t xml:space="preserve">Враховуючи вищенаведене, є необхідність в продовженні кінцевого строку подання тендерних пропозицій </w:t>
      </w:r>
      <w:r>
        <w:t>до 1</w:t>
      </w:r>
      <w:r w:rsidRPr="00E31900">
        <w:t xml:space="preserve">9:00 </w:t>
      </w:r>
      <w:r>
        <w:t>24 січня 2024</w:t>
      </w:r>
      <w:r w:rsidRPr="00E31900">
        <w:t xml:space="preserve"> р.</w:t>
      </w:r>
    </w:p>
    <w:p w:rsidR="00011A91" w:rsidRPr="00F86E86" w:rsidRDefault="00011A91" w:rsidP="00E31900">
      <w:pPr>
        <w:jc w:val="both"/>
        <w:rPr>
          <w:lang w:eastAsia="uk-UA"/>
        </w:rPr>
      </w:pPr>
      <w:r w:rsidRPr="00F86E86">
        <w:t>У відповідь на звернення учасника процедури закупівлі до тендерної документації необхідно внести наступні зміни</w:t>
      </w:r>
      <w:r w:rsidRPr="00F86E86">
        <w:rPr>
          <w:lang w:eastAsia="uk-UA"/>
        </w:rPr>
        <w:t>:</w:t>
      </w:r>
    </w:p>
    <w:p w:rsidR="00E31900" w:rsidRPr="00F86E86" w:rsidRDefault="00E31900" w:rsidP="00E31900">
      <w:pPr>
        <w:tabs>
          <w:tab w:val="left" w:pos="567"/>
        </w:tabs>
        <w:jc w:val="both"/>
        <w:rPr>
          <w:lang w:eastAsia="uk-UA"/>
        </w:rPr>
      </w:pPr>
    </w:p>
    <w:p w:rsidR="00E31900" w:rsidRPr="00F86E86" w:rsidRDefault="00E31900" w:rsidP="00E31900">
      <w:pPr>
        <w:tabs>
          <w:tab w:val="left" w:pos="567"/>
        </w:tabs>
        <w:ind w:firstLine="567"/>
        <w:jc w:val="both"/>
        <w:rPr>
          <w:lang w:eastAsia="uk-UA"/>
        </w:rPr>
      </w:pPr>
      <w:r w:rsidRPr="00F86E86">
        <w:t>У відповідь на звернення учасника процедури закупівлі до тендерної документації необхідно внести наступні зміни</w:t>
      </w:r>
      <w:r w:rsidRPr="00F86E86">
        <w:rPr>
          <w:lang w:eastAsia="uk-UA"/>
        </w:rPr>
        <w:t>:</w:t>
      </w:r>
    </w:p>
    <w:p w:rsidR="00E31900" w:rsidRPr="00F86E86" w:rsidRDefault="00E31900" w:rsidP="00E31900">
      <w:pPr>
        <w:tabs>
          <w:tab w:val="left" w:pos="567"/>
        </w:tabs>
        <w:ind w:firstLine="567"/>
        <w:jc w:val="both"/>
        <w:rPr>
          <w:lang w:eastAsia="uk-UA"/>
        </w:rPr>
      </w:pPr>
    </w:p>
    <w:p w:rsidR="00E31900" w:rsidRPr="00E31900" w:rsidRDefault="00E31900" w:rsidP="00E31900">
      <w:pPr>
        <w:tabs>
          <w:tab w:val="left" w:pos="567"/>
        </w:tabs>
        <w:ind w:firstLine="567"/>
        <w:jc w:val="both"/>
        <w:rPr>
          <w:color w:val="000000" w:themeColor="text1"/>
          <w:lang w:eastAsia="uk-UA"/>
        </w:rPr>
      </w:pPr>
      <w:r w:rsidRPr="00E31900">
        <w:rPr>
          <w:color w:val="000000" w:themeColor="text1"/>
          <w:lang w:eastAsia="uk-UA"/>
        </w:rPr>
        <w:t>Зміна №1.</w:t>
      </w:r>
    </w:p>
    <w:p w:rsidR="00E31900" w:rsidRPr="00E31900" w:rsidRDefault="00E31900" w:rsidP="00E31900">
      <w:pPr>
        <w:jc w:val="both"/>
        <w:rPr>
          <w:color w:val="000000" w:themeColor="text1"/>
          <w:lang w:eastAsia="uk-UA"/>
        </w:rPr>
      </w:pPr>
      <w:r w:rsidRPr="00E31900">
        <w:rPr>
          <w:color w:val="000000" w:themeColor="text1"/>
          <w:lang w:eastAsia="uk-UA"/>
        </w:rPr>
        <w:t>В Додатку №4</w:t>
      </w:r>
      <w:r w:rsidRPr="00E31900">
        <w:rPr>
          <w:b/>
          <w:color w:val="000000" w:themeColor="text1"/>
        </w:rPr>
        <w:t xml:space="preserve"> </w:t>
      </w:r>
      <w:r w:rsidRPr="00E31900">
        <w:rPr>
          <w:color w:val="000000" w:themeColor="text1"/>
        </w:rPr>
        <w:t xml:space="preserve">Інформація про технічні, якісні та інші характеристики предмета закупівлі, </w:t>
      </w:r>
      <w:r w:rsidRPr="00E31900">
        <w:rPr>
          <w:color w:val="000000" w:themeColor="text1"/>
          <w:lang w:eastAsia="uk-UA"/>
        </w:rPr>
        <w:t>п.4 та п. 6</w:t>
      </w:r>
      <w:r w:rsidRPr="00E31900">
        <w:rPr>
          <w:color w:val="000000" w:themeColor="text1"/>
          <w:lang w:eastAsia="uk-UA"/>
        </w:rPr>
        <w:t xml:space="preserve"> викласти в наступній редакції:</w:t>
      </w:r>
    </w:p>
    <w:p w:rsidR="00E31900" w:rsidRPr="00E31900" w:rsidRDefault="00E31900" w:rsidP="00E31900">
      <w:pPr>
        <w:suppressAutoHyphens/>
        <w:ind w:left="780"/>
        <w:rPr>
          <w:rFonts w:cs="Lucida Sans"/>
          <w:b/>
          <w:color w:val="000000" w:themeColor="text1"/>
        </w:rPr>
      </w:pPr>
      <w:r w:rsidRPr="00E31900">
        <w:rPr>
          <w:rFonts w:cs="Lucida Sans"/>
          <w:b/>
          <w:color w:val="000000" w:themeColor="text1"/>
        </w:rPr>
        <w:t>П.4.</w:t>
      </w:r>
      <w:r w:rsidRPr="00E31900">
        <w:rPr>
          <w:rFonts w:cs="Lucida Sans"/>
          <w:b/>
          <w:color w:val="000000" w:themeColor="text1"/>
        </w:rPr>
        <w:t>Туфлі жіночі</w:t>
      </w:r>
    </w:p>
    <w:p w:rsidR="00E31900" w:rsidRPr="00E31900" w:rsidRDefault="00E31900" w:rsidP="00E31900">
      <w:pPr>
        <w:pStyle w:val="ad"/>
        <w:spacing w:before="20"/>
        <w:jc w:val="both"/>
        <w:rPr>
          <w:rStyle w:val="ae"/>
          <w:color w:val="000000" w:themeColor="text1"/>
        </w:rPr>
      </w:pPr>
      <w:r w:rsidRPr="00E31900">
        <w:rPr>
          <w:color w:val="000000" w:themeColor="text1"/>
          <w:lang w:val="uk-UA"/>
        </w:rPr>
        <w:t>Стиль – діловий класичний. Сезон – весна-осінь.</w:t>
      </w:r>
      <w:r w:rsidRPr="00E31900">
        <w:rPr>
          <w:rStyle w:val="ae"/>
          <w:color w:val="000000" w:themeColor="text1"/>
        </w:rPr>
        <w:t xml:space="preserve"> </w:t>
      </w:r>
    </w:p>
    <w:p w:rsidR="00E31900" w:rsidRPr="00E31900" w:rsidRDefault="00E31900" w:rsidP="00E31900">
      <w:pPr>
        <w:pStyle w:val="ad"/>
        <w:spacing w:before="20"/>
        <w:jc w:val="both"/>
        <w:rPr>
          <w:color w:val="000000" w:themeColor="text1"/>
          <w:lang w:val="uk-UA"/>
        </w:rPr>
      </w:pPr>
      <w:r w:rsidRPr="00E31900">
        <w:rPr>
          <w:color w:val="000000" w:themeColor="text1"/>
          <w:lang w:val="uk-UA"/>
        </w:rPr>
        <w:t>Верх туфлів – натуральна шкіра. Носок туфлів – заокруглений.</w:t>
      </w:r>
    </w:p>
    <w:p w:rsidR="00E31900" w:rsidRPr="00136E67" w:rsidRDefault="00E31900" w:rsidP="00E31900">
      <w:pPr>
        <w:pStyle w:val="ad"/>
        <w:spacing w:before="20"/>
        <w:jc w:val="both"/>
        <w:rPr>
          <w:lang w:val="uk-UA"/>
        </w:rPr>
      </w:pPr>
      <w:r w:rsidRPr="00E31900">
        <w:rPr>
          <w:color w:val="000000" w:themeColor="text1"/>
          <w:lang w:val="uk-UA"/>
        </w:rPr>
        <w:t xml:space="preserve">Підошва: поліуретан. Вид підошви в </w:t>
      </w:r>
      <w:r w:rsidRPr="00136E67">
        <w:rPr>
          <w:lang w:val="uk-UA"/>
        </w:rPr>
        <w:t>області п’яти – каблук з висотою до 30 мм. Метод кріплення верху до підошви – литтєвий.</w:t>
      </w:r>
    </w:p>
    <w:p w:rsidR="00E31900" w:rsidRPr="00136E67" w:rsidRDefault="00E31900" w:rsidP="00E31900">
      <w:pPr>
        <w:pStyle w:val="ad"/>
        <w:spacing w:before="20"/>
        <w:jc w:val="both"/>
        <w:rPr>
          <w:lang w:val="uk-UA"/>
        </w:rPr>
      </w:pPr>
      <w:r w:rsidRPr="00136E67">
        <w:rPr>
          <w:lang w:val="uk-UA"/>
        </w:rPr>
        <w:t>Застібка – шнурки.</w:t>
      </w:r>
      <w:bookmarkStart w:id="0" w:name="_GoBack"/>
      <w:bookmarkEnd w:id="0"/>
    </w:p>
    <w:p w:rsidR="00E31900" w:rsidRPr="00136E67" w:rsidRDefault="00E31900" w:rsidP="00E31900">
      <w:pPr>
        <w:pStyle w:val="ad"/>
        <w:jc w:val="both"/>
        <w:rPr>
          <w:lang w:val="uk-UA"/>
        </w:rPr>
      </w:pPr>
      <w:r w:rsidRPr="00136E67">
        <w:rPr>
          <w:rStyle w:val="ae"/>
        </w:rPr>
        <w:t>Колір – чорний.</w:t>
      </w:r>
    </w:p>
    <w:p w:rsidR="00E31900" w:rsidRDefault="00E31900" w:rsidP="00E31900">
      <w:pPr>
        <w:pStyle w:val="ad"/>
        <w:jc w:val="both"/>
        <w:rPr>
          <w:rFonts w:asciiTheme="minorHAnsi" w:hAnsiTheme="minorHAnsi"/>
          <w:lang w:val="uk-UA"/>
        </w:rPr>
      </w:pPr>
      <w:r w:rsidRPr="00136E67">
        <w:rPr>
          <w:lang w:val="uk-UA"/>
        </w:rPr>
        <w:t>Розмір: 35 – 42</w:t>
      </w:r>
    </w:p>
    <w:p w:rsidR="00E31900" w:rsidRDefault="00E31900" w:rsidP="00E31900">
      <w:pPr>
        <w:pStyle w:val="ad"/>
        <w:jc w:val="both"/>
        <w:rPr>
          <w:rStyle w:val="ae"/>
        </w:rPr>
      </w:pPr>
      <w:r w:rsidRPr="007C4C97">
        <w:rPr>
          <w:rStyle w:val="ae"/>
        </w:rPr>
        <w:lastRenderedPageBreak/>
        <w:t>Відповідність ГОСТ 26167:2009</w:t>
      </w:r>
    </w:p>
    <w:p w:rsidR="00E31900" w:rsidRPr="007C4C97" w:rsidRDefault="00E31900" w:rsidP="00E31900">
      <w:pPr>
        <w:pStyle w:val="ad"/>
        <w:jc w:val="both"/>
        <w:rPr>
          <w:rStyle w:val="ae"/>
        </w:rPr>
      </w:pPr>
    </w:p>
    <w:p w:rsidR="00E31900" w:rsidRPr="00AE0906" w:rsidRDefault="00E31900" w:rsidP="00E31900">
      <w:pPr>
        <w:jc w:val="both"/>
        <w:rPr>
          <w:color w:val="FF0000"/>
          <w:lang w:eastAsia="uk-UA"/>
        </w:rPr>
      </w:pPr>
    </w:p>
    <w:p w:rsidR="00E31900" w:rsidRPr="00BE0583" w:rsidRDefault="00E31900" w:rsidP="00E31900">
      <w:pPr>
        <w:suppressAutoHyphens/>
        <w:ind w:left="780"/>
        <w:rPr>
          <w:rFonts w:cs="Lucida Sans"/>
          <w:b/>
        </w:rPr>
      </w:pPr>
      <w:r>
        <w:rPr>
          <w:rFonts w:cs="Lucida Sans"/>
          <w:b/>
        </w:rPr>
        <w:t xml:space="preserve">П.6 </w:t>
      </w:r>
      <w:r w:rsidRPr="00BE0583">
        <w:rPr>
          <w:rFonts w:cs="Lucida Sans"/>
          <w:b/>
        </w:rPr>
        <w:t>Черевики з високими берцами</w:t>
      </w:r>
    </w:p>
    <w:p w:rsidR="00E31900" w:rsidRPr="00136E67" w:rsidRDefault="00E31900" w:rsidP="00E31900">
      <w:pPr>
        <w:pStyle w:val="ad"/>
        <w:jc w:val="both"/>
        <w:rPr>
          <w:rStyle w:val="ae"/>
          <w:rFonts w:ascii="Times New Roman" w:eastAsia="Times New Roman" w:hAnsi="Times New Roman"/>
        </w:rPr>
      </w:pPr>
      <w:r w:rsidRPr="00136E67">
        <w:rPr>
          <w:rStyle w:val="ae"/>
          <w:rFonts w:ascii="Times New Roman" w:eastAsia="Times New Roman" w:hAnsi="Times New Roman"/>
        </w:rPr>
        <w:t>Черевики  із завищеними берцями для захисту від нафти, нафтопродуктів (Нм),  протиковзка підошва (SRC),  кислот та лугів концентрації до 20% (К20, Щ20), контакту з нагрітими поверхнями вище 45</w:t>
      </w:r>
      <w:r>
        <w:rPr>
          <w:rStyle w:val="ae"/>
          <w:rFonts w:ascii="Times New Roman" w:eastAsia="Times New Roman" w:hAnsi="Times New Roman" w:cs="Times New Roman"/>
        </w:rPr>
        <w:t>°</w:t>
      </w:r>
      <w:r w:rsidRPr="00136E67">
        <w:rPr>
          <w:rStyle w:val="ae"/>
          <w:rFonts w:ascii="Times New Roman" w:eastAsia="Times New Roman" w:hAnsi="Times New Roman"/>
        </w:rPr>
        <w:t>С (Тп) з верхом із натуральної шкіри, литтєвого методу кріплення двошарової підошови із поліуретану та термополіуретану. Колір – чорний.</w:t>
      </w:r>
    </w:p>
    <w:p w:rsidR="00E31900" w:rsidRPr="00136E67" w:rsidRDefault="00E31900" w:rsidP="00E31900">
      <w:pPr>
        <w:pStyle w:val="ad"/>
        <w:jc w:val="both"/>
        <w:rPr>
          <w:rStyle w:val="ae"/>
          <w:rFonts w:ascii="Times New Roman" w:eastAsia="Times New Roman" w:hAnsi="Times New Roman"/>
        </w:rPr>
      </w:pPr>
      <w:r w:rsidRPr="00136E67">
        <w:rPr>
          <w:rStyle w:val="ae"/>
          <w:rFonts w:ascii="Times New Roman" w:eastAsia="Times New Roman" w:hAnsi="Times New Roman"/>
        </w:rPr>
        <w:t>Конструкція заготовки: черевики висотою не менше 190 мм, У передній частині взуття розташовано сім пар гладких металевих антикорозійних петель для шнурівки. Для більш комфортної експлуатації захисний клапан дублюється поролоновою вставкою.   Внутрішні деталі верху взуття (підкладка під союзку, підкладка під задинку) –синтетичний сітчастий матеріал, роздиральне зусилля якого не менше 18Н.  Основна устілка – штробельний матеріал товщиною 2,5 мм, вкладна устілка — вспінений полімерний матеріал Eva, дублена сітчастим матеріалом. Водопоглинальність устілок</w:t>
      </w:r>
      <w:r w:rsidRPr="00136E67">
        <w:rPr>
          <w:rStyle w:val="ae"/>
          <w:rFonts w:ascii="Times New Roman" w:eastAsia="Times New Roman" w:hAnsi="Times New Roman"/>
        </w:rPr>
        <w:tab/>
        <w:t>не менше 70 мг/см2 .</w:t>
      </w:r>
    </w:p>
    <w:p w:rsidR="00E31900" w:rsidRPr="00136E67" w:rsidRDefault="00E31900" w:rsidP="00E31900">
      <w:pPr>
        <w:pStyle w:val="ad"/>
        <w:jc w:val="both"/>
        <w:rPr>
          <w:rStyle w:val="ae"/>
          <w:rFonts w:ascii="Times New Roman" w:eastAsia="Times New Roman" w:hAnsi="Times New Roman"/>
        </w:rPr>
      </w:pPr>
      <w:r w:rsidRPr="00136E67">
        <w:rPr>
          <w:rStyle w:val="ae"/>
          <w:rFonts w:ascii="Times New Roman" w:eastAsia="Times New Roman" w:hAnsi="Times New Roman"/>
        </w:rPr>
        <w:t>Границя міцності верху взуття під час розтягування не менше 17 Н/мм2</w:t>
      </w:r>
    </w:p>
    <w:p w:rsidR="00E31900" w:rsidRPr="00136E67" w:rsidRDefault="00E31900" w:rsidP="00E31900">
      <w:pPr>
        <w:pStyle w:val="ad"/>
        <w:jc w:val="both"/>
        <w:rPr>
          <w:rStyle w:val="ae"/>
          <w:rFonts w:ascii="Times New Roman" w:eastAsia="Times New Roman" w:hAnsi="Times New Roman"/>
        </w:rPr>
      </w:pPr>
      <w:r w:rsidRPr="00136E67">
        <w:rPr>
          <w:rStyle w:val="ae"/>
          <w:rFonts w:ascii="Times New Roman" w:eastAsia="Times New Roman" w:hAnsi="Times New Roman"/>
        </w:rPr>
        <w:t>Розривне зусилля - верху взуття - не менше 130 Н;</w:t>
      </w:r>
    </w:p>
    <w:p w:rsidR="00E31900" w:rsidRPr="00136E67" w:rsidRDefault="00E31900" w:rsidP="00E31900">
      <w:pPr>
        <w:pStyle w:val="ad"/>
        <w:jc w:val="both"/>
        <w:rPr>
          <w:rStyle w:val="ae"/>
          <w:rFonts w:ascii="Times New Roman" w:eastAsia="Times New Roman" w:hAnsi="Times New Roman"/>
        </w:rPr>
      </w:pPr>
      <w:r w:rsidRPr="00136E67">
        <w:rPr>
          <w:rStyle w:val="ae"/>
          <w:rFonts w:ascii="Times New Roman" w:eastAsia="Times New Roman" w:hAnsi="Times New Roman"/>
        </w:rPr>
        <w:t>підошви - не менше 9,0 кН/м;</w:t>
      </w:r>
    </w:p>
    <w:p w:rsidR="00011A91" w:rsidRPr="00853A0A" w:rsidRDefault="00011A91" w:rsidP="00011A91">
      <w:pPr>
        <w:tabs>
          <w:tab w:val="left" w:pos="567"/>
        </w:tabs>
        <w:ind w:firstLine="567"/>
        <w:jc w:val="both"/>
        <w:rPr>
          <w:color w:val="000000" w:themeColor="text1"/>
          <w:lang w:eastAsia="uk-UA"/>
        </w:rPr>
      </w:pPr>
    </w:p>
    <w:p w:rsidR="00E31900" w:rsidRPr="00E31900" w:rsidRDefault="00E31900" w:rsidP="00E31900">
      <w:pPr>
        <w:tabs>
          <w:tab w:val="left" w:pos="567"/>
        </w:tabs>
        <w:ind w:firstLine="567"/>
        <w:jc w:val="both"/>
        <w:rPr>
          <w:rStyle w:val="ae"/>
          <w:rFonts w:cs="Mangal"/>
          <w:kern w:val="3"/>
          <w:lang w:val="en-US" w:eastAsia="zh-CN" w:bidi="hi-IN"/>
        </w:rPr>
      </w:pPr>
      <w:r w:rsidRPr="00E31900">
        <w:rPr>
          <w:rStyle w:val="ae"/>
          <w:rFonts w:cs="Mangal"/>
          <w:kern w:val="3"/>
          <w:lang w:val="en-US" w:eastAsia="zh-CN" w:bidi="hi-IN"/>
        </w:rPr>
        <w:t>Кінцевий строк подання тендерних пропозицій:</w:t>
      </w:r>
    </w:p>
    <w:p w:rsidR="00E31900" w:rsidRPr="00E31900" w:rsidRDefault="00E31900" w:rsidP="00E31900">
      <w:pPr>
        <w:tabs>
          <w:tab w:val="left" w:pos="567"/>
        </w:tabs>
        <w:ind w:firstLine="567"/>
        <w:jc w:val="both"/>
        <w:rPr>
          <w:rStyle w:val="ae"/>
          <w:rFonts w:cs="Mangal"/>
          <w:kern w:val="3"/>
          <w:lang w:val="en-US" w:eastAsia="zh-CN" w:bidi="hi-IN"/>
        </w:rPr>
      </w:pPr>
      <w:r w:rsidRPr="00E31900">
        <w:rPr>
          <w:rStyle w:val="ae"/>
          <w:rFonts w:cs="Mangal"/>
          <w:kern w:val="3"/>
          <w:lang w:val="en-US" w:eastAsia="zh-CN" w:bidi="hi-IN"/>
        </w:rPr>
        <w:t>до 10:00 24 січня 2024 р.</w:t>
      </w:r>
    </w:p>
    <w:p w:rsidR="001054E2" w:rsidRPr="00A70938" w:rsidRDefault="001054E2" w:rsidP="001054E2">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1054E2" w:rsidRPr="00A70938" w:rsidRDefault="001054E2" w:rsidP="001054E2">
      <w:pPr>
        <w:ind w:firstLine="426"/>
        <w:jc w:val="both"/>
        <w:rPr>
          <w:sz w:val="12"/>
          <w:szCs w:val="12"/>
        </w:rPr>
      </w:pPr>
      <w:r w:rsidRPr="00A70938">
        <w:rPr>
          <w:sz w:val="12"/>
          <w:szCs w:val="12"/>
        </w:rPr>
        <w:t xml:space="preserve">                  </w:t>
      </w:r>
    </w:p>
    <w:p w:rsidR="001054E2" w:rsidRPr="00A70938" w:rsidRDefault="001054E2" w:rsidP="001054E2">
      <w:pPr>
        <w:pStyle w:val="ab"/>
        <w:jc w:val="right"/>
      </w:pPr>
      <w:r w:rsidRPr="00A70938">
        <w:rPr>
          <w:i/>
          <w:sz w:val="20"/>
          <w:szCs w:val="20"/>
        </w:rPr>
        <w:t>Таблиця №1</w:t>
      </w:r>
    </w:p>
    <w:p w:rsidR="001054E2" w:rsidRPr="00A70938" w:rsidRDefault="001054E2" w:rsidP="001054E2">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1054E2" w:rsidRPr="00A70938" w:rsidTr="00C8281C">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1054E2" w:rsidRPr="00A70938" w:rsidRDefault="001054E2" w:rsidP="00C8281C">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1054E2" w:rsidRPr="00A70938" w:rsidRDefault="001054E2" w:rsidP="00C8281C">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1054E2" w:rsidRPr="00A70938" w:rsidRDefault="001054E2" w:rsidP="00C8281C">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1054E2" w:rsidRPr="00A70938" w:rsidRDefault="001054E2" w:rsidP="00C8281C">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1054E2" w:rsidRPr="00A70938" w:rsidRDefault="001054E2" w:rsidP="00C8281C">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1054E2" w:rsidRPr="00A70938" w:rsidRDefault="001054E2" w:rsidP="00C8281C">
            <w:pPr>
              <w:jc w:val="center"/>
              <w:rPr>
                <w:b/>
                <w:bCs/>
                <w:color w:val="000000"/>
              </w:rPr>
            </w:pPr>
            <w:r w:rsidRPr="00A70938">
              <w:rPr>
                <w:b/>
                <w:bCs/>
                <w:color w:val="000000"/>
              </w:rPr>
              <w:t>Позначка про відповідність</w:t>
            </w:r>
          </w:p>
        </w:tc>
      </w:tr>
      <w:tr w:rsidR="001054E2" w:rsidRPr="00A70938" w:rsidTr="00C8281C">
        <w:trPr>
          <w:trHeight w:val="278"/>
        </w:trPr>
        <w:tc>
          <w:tcPr>
            <w:tcW w:w="530" w:type="dxa"/>
            <w:tcBorders>
              <w:top w:val="nil"/>
              <w:left w:val="single" w:sz="4" w:space="0" w:color="auto"/>
              <w:bottom w:val="single" w:sz="4" w:space="0" w:color="auto"/>
              <w:right w:val="single" w:sz="4" w:space="0" w:color="auto"/>
            </w:tcBorders>
            <w:noWrap/>
            <w:vAlign w:val="center"/>
          </w:tcPr>
          <w:p w:rsidR="001054E2" w:rsidRPr="00A70938" w:rsidRDefault="001054E2" w:rsidP="00C8281C">
            <w:pPr>
              <w:pStyle w:val="ab"/>
            </w:pPr>
            <w:r w:rsidRPr="00A70938">
              <w:t> </w:t>
            </w:r>
          </w:p>
        </w:tc>
        <w:tc>
          <w:tcPr>
            <w:tcW w:w="1809" w:type="dxa"/>
            <w:tcBorders>
              <w:top w:val="nil"/>
              <w:left w:val="nil"/>
              <w:bottom w:val="single" w:sz="4" w:space="0" w:color="auto"/>
              <w:right w:val="single" w:sz="4" w:space="0" w:color="auto"/>
            </w:tcBorders>
            <w:noWrap/>
            <w:vAlign w:val="center"/>
          </w:tcPr>
          <w:p w:rsidR="001054E2" w:rsidRPr="00A70938" w:rsidRDefault="001054E2" w:rsidP="00C8281C">
            <w:pPr>
              <w:pStyle w:val="ab"/>
            </w:pPr>
          </w:p>
        </w:tc>
        <w:tc>
          <w:tcPr>
            <w:tcW w:w="1431" w:type="dxa"/>
            <w:tcBorders>
              <w:top w:val="nil"/>
              <w:left w:val="nil"/>
              <w:bottom w:val="single" w:sz="4" w:space="0" w:color="auto"/>
              <w:right w:val="single" w:sz="4" w:space="0" w:color="auto"/>
            </w:tcBorders>
            <w:noWrap/>
            <w:vAlign w:val="center"/>
          </w:tcPr>
          <w:p w:rsidR="001054E2" w:rsidRPr="00A70938" w:rsidRDefault="001054E2" w:rsidP="00C8281C">
            <w:pPr>
              <w:pStyle w:val="ab"/>
            </w:pPr>
            <w:r w:rsidRPr="00A70938">
              <w:t> </w:t>
            </w:r>
          </w:p>
        </w:tc>
        <w:tc>
          <w:tcPr>
            <w:tcW w:w="1941" w:type="dxa"/>
            <w:tcBorders>
              <w:top w:val="nil"/>
              <w:left w:val="nil"/>
              <w:bottom w:val="single" w:sz="4" w:space="0" w:color="auto"/>
              <w:right w:val="single" w:sz="4" w:space="0" w:color="auto"/>
            </w:tcBorders>
            <w:noWrap/>
            <w:vAlign w:val="center"/>
          </w:tcPr>
          <w:p w:rsidR="001054E2" w:rsidRPr="00A70938" w:rsidRDefault="001054E2" w:rsidP="00C8281C">
            <w:pPr>
              <w:pStyle w:val="ab"/>
            </w:pPr>
            <w:r w:rsidRPr="00A70938">
              <w:t> </w:t>
            </w:r>
          </w:p>
        </w:tc>
        <w:tc>
          <w:tcPr>
            <w:tcW w:w="2631" w:type="dxa"/>
            <w:tcBorders>
              <w:top w:val="nil"/>
              <w:left w:val="nil"/>
              <w:bottom w:val="single" w:sz="4" w:space="0" w:color="auto"/>
              <w:right w:val="single" w:sz="4" w:space="0" w:color="auto"/>
            </w:tcBorders>
            <w:noWrap/>
            <w:vAlign w:val="center"/>
          </w:tcPr>
          <w:p w:rsidR="001054E2" w:rsidRPr="00A70938" w:rsidRDefault="001054E2" w:rsidP="00C8281C">
            <w:pPr>
              <w:pStyle w:val="ab"/>
            </w:pPr>
            <w:r w:rsidRPr="00A70938">
              <w:t> </w:t>
            </w:r>
          </w:p>
        </w:tc>
        <w:tc>
          <w:tcPr>
            <w:tcW w:w="1718" w:type="dxa"/>
            <w:tcBorders>
              <w:top w:val="nil"/>
              <w:left w:val="single" w:sz="4" w:space="0" w:color="auto"/>
              <w:bottom w:val="single" w:sz="4" w:space="0" w:color="auto"/>
              <w:right w:val="single" w:sz="4" w:space="0" w:color="auto"/>
            </w:tcBorders>
            <w:noWrap/>
            <w:vAlign w:val="center"/>
          </w:tcPr>
          <w:p w:rsidR="001054E2" w:rsidRPr="00A70938" w:rsidRDefault="001054E2" w:rsidP="00C8281C">
            <w:pPr>
              <w:pStyle w:val="ab"/>
            </w:pPr>
            <w:r w:rsidRPr="00A70938">
              <w:t> </w:t>
            </w:r>
          </w:p>
        </w:tc>
      </w:tr>
      <w:tr w:rsidR="001054E2" w:rsidRPr="00A70938" w:rsidTr="00C8281C">
        <w:trPr>
          <w:trHeight w:val="282"/>
        </w:trPr>
        <w:tc>
          <w:tcPr>
            <w:tcW w:w="530" w:type="dxa"/>
            <w:tcBorders>
              <w:top w:val="nil"/>
              <w:left w:val="single" w:sz="4" w:space="0" w:color="auto"/>
              <w:bottom w:val="single" w:sz="4" w:space="0" w:color="auto"/>
              <w:right w:val="single" w:sz="4" w:space="0" w:color="auto"/>
            </w:tcBorders>
            <w:noWrap/>
            <w:vAlign w:val="center"/>
          </w:tcPr>
          <w:p w:rsidR="001054E2" w:rsidRPr="00A70938" w:rsidRDefault="001054E2" w:rsidP="00C8281C">
            <w:pPr>
              <w:pStyle w:val="ab"/>
            </w:pPr>
            <w:r w:rsidRPr="00A70938">
              <w:t> </w:t>
            </w:r>
          </w:p>
        </w:tc>
        <w:tc>
          <w:tcPr>
            <w:tcW w:w="1809" w:type="dxa"/>
            <w:tcBorders>
              <w:top w:val="nil"/>
              <w:left w:val="nil"/>
              <w:bottom w:val="single" w:sz="4" w:space="0" w:color="auto"/>
              <w:right w:val="single" w:sz="4" w:space="0" w:color="auto"/>
            </w:tcBorders>
            <w:noWrap/>
            <w:vAlign w:val="center"/>
          </w:tcPr>
          <w:p w:rsidR="001054E2" w:rsidRPr="00A70938" w:rsidRDefault="001054E2" w:rsidP="00C8281C">
            <w:pPr>
              <w:pStyle w:val="ab"/>
            </w:pPr>
            <w:r w:rsidRPr="00A70938">
              <w:t> </w:t>
            </w:r>
          </w:p>
        </w:tc>
        <w:tc>
          <w:tcPr>
            <w:tcW w:w="1431" w:type="dxa"/>
            <w:tcBorders>
              <w:top w:val="nil"/>
              <w:left w:val="nil"/>
              <w:bottom w:val="single" w:sz="4" w:space="0" w:color="auto"/>
              <w:right w:val="single" w:sz="4" w:space="0" w:color="auto"/>
            </w:tcBorders>
            <w:noWrap/>
            <w:vAlign w:val="center"/>
          </w:tcPr>
          <w:p w:rsidR="001054E2" w:rsidRPr="00A70938" w:rsidRDefault="001054E2" w:rsidP="00C8281C">
            <w:pPr>
              <w:pStyle w:val="ab"/>
            </w:pPr>
            <w:r w:rsidRPr="00A70938">
              <w:t> </w:t>
            </w:r>
          </w:p>
        </w:tc>
        <w:tc>
          <w:tcPr>
            <w:tcW w:w="1941" w:type="dxa"/>
            <w:tcBorders>
              <w:top w:val="nil"/>
              <w:left w:val="nil"/>
              <w:bottom w:val="single" w:sz="4" w:space="0" w:color="auto"/>
              <w:right w:val="single" w:sz="4" w:space="0" w:color="auto"/>
            </w:tcBorders>
            <w:noWrap/>
            <w:vAlign w:val="center"/>
          </w:tcPr>
          <w:p w:rsidR="001054E2" w:rsidRPr="00A70938" w:rsidRDefault="001054E2" w:rsidP="00C8281C">
            <w:pPr>
              <w:pStyle w:val="ab"/>
            </w:pPr>
            <w:r w:rsidRPr="00A70938">
              <w:t> </w:t>
            </w:r>
          </w:p>
        </w:tc>
        <w:tc>
          <w:tcPr>
            <w:tcW w:w="2631" w:type="dxa"/>
            <w:tcBorders>
              <w:top w:val="nil"/>
              <w:left w:val="nil"/>
              <w:bottom w:val="single" w:sz="4" w:space="0" w:color="auto"/>
              <w:right w:val="single" w:sz="4" w:space="0" w:color="auto"/>
            </w:tcBorders>
            <w:noWrap/>
            <w:vAlign w:val="center"/>
          </w:tcPr>
          <w:p w:rsidR="001054E2" w:rsidRPr="00A70938" w:rsidRDefault="001054E2" w:rsidP="00C8281C">
            <w:pPr>
              <w:pStyle w:val="ab"/>
            </w:pPr>
            <w:r w:rsidRPr="00A70938">
              <w:t> </w:t>
            </w:r>
          </w:p>
        </w:tc>
        <w:tc>
          <w:tcPr>
            <w:tcW w:w="1718" w:type="dxa"/>
            <w:tcBorders>
              <w:top w:val="nil"/>
              <w:left w:val="single" w:sz="4" w:space="0" w:color="auto"/>
              <w:bottom w:val="single" w:sz="4" w:space="0" w:color="auto"/>
              <w:right w:val="single" w:sz="4" w:space="0" w:color="auto"/>
            </w:tcBorders>
            <w:noWrap/>
            <w:vAlign w:val="center"/>
          </w:tcPr>
          <w:p w:rsidR="001054E2" w:rsidRPr="00A70938" w:rsidRDefault="001054E2" w:rsidP="00C8281C">
            <w:pPr>
              <w:pStyle w:val="ab"/>
            </w:pPr>
            <w:r w:rsidRPr="00A70938">
              <w:t> </w:t>
            </w:r>
          </w:p>
        </w:tc>
      </w:tr>
    </w:tbl>
    <w:p w:rsidR="001054E2" w:rsidRPr="00A70938" w:rsidRDefault="001054E2" w:rsidP="001054E2">
      <w:pPr>
        <w:suppressAutoHyphens/>
        <w:ind w:right="54"/>
        <w:jc w:val="both"/>
        <w:rPr>
          <w:b/>
          <w:lang w:eastAsia="zh-CN"/>
        </w:rPr>
      </w:pPr>
    </w:p>
    <w:p w:rsidR="001054E2" w:rsidRPr="00A70938" w:rsidRDefault="001054E2" w:rsidP="001054E2">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1054E2" w:rsidRPr="00A70938" w:rsidRDefault="001054E2" w:rsidP="001054E2">
      <w:pPr>
        <w:suppressAutoHyphens/>
        <w:ind w:firstLine="708"/>
        <w:jc w:val="both"/>
        <w:rPr>
          <w:lang w:eastAsia="zh-CN"/>
        </w:rPr>
      </w:pPr>
    </w:p>
    <w:p w:rsidR="001054E2" w:rsidRPr="00A70938" w:rsidRDefault="001054E2" w:rsidP="001054E2">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1054E2" w:rsidRPr="00A70938" w:rsidRDefault="001054E2" w:rsidP="001054E2">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1054E2" w:rsidRPr="0062338D" w:rsidRDefault="001054E2" w:rsidP="001054E2">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1054E2" w:rsidRDefault="001054E2" w:rsidP="001054E2"/>
    <w:p w:rsidR="001054E2" w:rsidRDefault="001054E2" w:rsidP="001054E2">
      <w:pPr>
        <w:ind w:firstLine="709"/>
      </w:pPr>
    </w:p>
    <w:p w:rsidR="001054E2" w:rsidRPr="00761E66" w:rsidRDefault="001054E2" w:rsidP="001054E2">
      <w:pPr>
        <w:tabs>
          <w:tab w:val="left" w:pos="3402"/>
          <w:tab w:val="left" w:pos="5954"/>
        </w:tabs>
        <w:jc w:val="center"/>
      </w:pPr>
      <w:r w:rsidRPr="00C941C6">
        <w:rPr>
          <w:bCs/>
        </w:rPr>
        <w:t xml:space="preserve">«___» ___________ </w:t>
      </w:r>
      <w:r w:rsidRPr="00C941C6">
        <w:t xml:space="preserve">202_ р. </w:t>
      </w:r>
      <w:r w:rsidRPr="00C941C6">
        <w:tab/>
      </w:r>
      <w:r>
        <w:tab/>
      </w:r>
      <w:r w:rsidRPr="00761E66">
        <w:t xml:space="preserve">(Посада, власне ім’я та прізвище </w:t>
      </w:r>
    </w:p>
    <w:p w:rsidR="001054E2" w:rsidRPr="00C941C6" w:rsidRDefault="001054E2" w:rsidP="001054E2">
      <w:pPr>
        <w:tabs>
          <w:tab w:val="left" w:pos="3402"/>
          <w:tab w:val="left" w:pos="5954"/>
        </w:tabs>
        <w:jc w:val="center"/>
      </w:pPr>
      <w:r w:rsidRPr="00761E66">
        <w:tab/>
      </w:r>
      <w:r w:rsidRPr="00761E66">
        <w:tab/>
        <w:t>(останнє великими літерами), підпис)</w:t>
      </w:r>
    </w:p>
    <w:p w:rsidR="001054E2" w:rsidRPr="00AE0906" w:rsidRDefault="001054E2" w:rsidP="00011A91">
      <w:pPr>
        <w:tabs>
          <w:tab w:val="left" w:pos="567"/>
        </w:tabs>
        <w:ind w:firstLine="567"/>
        <w:jc w:val="both"/>
        <w:rPr>
          <w:b/>
          <w:color w:val="FF0000"/>
        </w:rPr>
      </w:pPr>
    </w:p>
    <w:p w:rsidR="00853A0A" w:rsidRPr="00F86E86" w:rsidRDefault="00853A0A" w:rsidP="00853A0A">
      <w:pPr>
        <w:rPr>
          <w:b/>
        </w:rPr>
      </w:pPr>
      <w:r w:rsidRPr="00F86E86">
        <w:rPr>
          <w:b/>
        </w:rPr>
        <w:t>Щодо другого питання порядку денного:</w:t>
      </w:r>
    </w:p>
    <w:p w:rsidR="00011A91" w:rsidRPr="00F86E86" w:rsidRDefault="00011A91" w:rsidP="00011A91">
      <w:pPr>
        <w:tabs>
          <w:tab w:val="left" w:pos="567"/>
        </w:tabs>
        <w:jc w:val="both"/>
        <w:rPr>
          <w:lang w:eastAsia="uk-UA"/>
        </w:rPr>
      </w:pPr>
      <w:r w:rsidRPr="00F86E86">
        <w:tab/>
        <w:t xml:space="preserve">Відповідно до </w:t>
      </w:r>
      <w:r>
        <w:t>пункту</w:t>
      </w:r>
      <w:r w:rsidRPr="00F86E86">
        <w:t xml:space="preserve"> 51 Особливостей</w:t>
      </w:r>
      <w:r w:rsidRPr="00F86E86">
        <w:rPr>
          <w:bCs/>
          <w:iCs/>
        </w:rPr>
        <w:t xml:space="preserve"> </w:t>
      </w:r>
      <w:r w:rsidRPr="00F86E86">
        <w:rPr>
          <w:lang w:eastAsia="uk-UA"/>
        </w:rPr>
        <w:t xml:space="preserve">зміни, </w:t>
      </w:r>
      <w:r w:rsidRPr="00F55FE9">
        <w:rPr>
          <w:lang w:eastAsia="uk-UA"/>
        </w:rPr>
        <w:t xml:space="preserve">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w:t>
      </w:r>
      <w:r w:rsidRPr="00F55FE9">
        <w:rPr>
          <w:lang w:eastAsia="uk-UA"/>
        </w:rPr>
        <w:lastRenderedPageBreak/>
        <w:t>разом із змінами до тендерної документації в окремому документі оприлюднює перелік змін, що вносяться</w:t>
      </w:r>
      <w:r w:rsidRPr="00F86E86">
        <w:rPr>
          <w:lang w:eastAsia="uk-UA"/>
        </w:rPr>
        <w:t>.</w:t>
      </w:r>
    </w:p>
    <w:p w:rsidR="00011A91" w:rsidRPr="00F86E86" w:rsidRDefault="00011A91" w:rsidP="00011A91">
      <w:pPr>
        <w:tabs>
          <w:tab w:val="left" w:pos="567"/>
        </w:tabs>
        <w:jc w:val="both"/>
      </w:pPr>
      <w:r w:rsidRPr="00F86E86">
        <w:rPr>
          <w:lang w:eastAsia="uk-UA"/>
        </w:rPr>
        <w:tab/>
      </w:r>
      <w:r w:rsidRPr="00F86E86">
        <w:t xml:space="preserve">Враховуючи вищенаведене, є необхідність в оприлюдненні </w:t>
      </w:r>
      <w:r w:rsidRPr="00F86E86">
        <w:rPr>
          <w:lang w:eastAsia="uk-UA"/>
        </w:rPr>
        <w:t>нової редакції тендерної документації</w:t>
      </w:r>
      <w:r w:rsidRPr="009D792C">
        <w:rPr>
          <w:lang w:eastAsia="uk-UA"/>
        </w:rPr>
        <w:t xml:space="preserve"> </w:t>
      </w:r>
      <w:r w:rsidRPr="00F86E86">
        <w:rPr>
          <w:lang w:eastAsia="uk-UA"/>
        </w:rPr>
        <w:t>та цього протоколу з переліком змін, що вносяться,</w:t>
      </w:r>
      <w:r w:rsidRPr="00F86E86">
        <w:t xml:space="preserve"> протягом 1 (одного) дня з дня прийняття рішення про внесення змін до тендерної документації.</w:t>
      </w:r>
    </w:p>
    <w:p w:rsidR="00011A91" w:rsidRPr="00F86E86" w:rsidRDefault="00011A91" w:rsidP="00011A91">
      <w:pPr>
        <w:tabs>
          <w:tab w:val="left" w:pos="567"/>
        </w:tabs>
        <w:jc w:val="both"/>
        <w:rPr>
          <w:bCs/>
          <w:iCs/>
        </w:rPr>
      </w:pPr>
    </w:p>
    <w:p w:rsidR="00011A91" w:rsidRPr="00F86E86" w:rsidRDefault="00011A91" w:rsidP="00011A91">
      <w:pPr>
        <w:tabs>
          <w:tab w:val="left" w:pos="567"/>
        </w:tabs>
        <w:jc w:val="both"/>
        <w:rPr>
          <w:b/>
          <w:bCs/>
        </w:rPr>
      </w:pPr>
      <w:r w:rsidRPr="00F86E86">
        <w:rPr>
          <w:b/>
          <w:bCs/>
        </w:rPr>
        <w:t>ВИРІШИВ:</w:t>
      </w:r>
    </w:p>
    <w:p w:rsidR="00011A91" w:rsidRPr="00F86E86" w:rsidRDefault="00853A0A" w:rsidP="00011A91">
      <w:pPr>
        <w:tabs>
          <w:tab w:val="left" w:pos="567"/>
        </w:tabs>
        <w:jc w:val="both"/>
      </w:pPr>
      <w:r>
        <w:t>1</w:t>
      </w:r>
      <w:r w:rsidR="00011A91" w:rsidRPr="00F86E86">
        <w:t>.</w:t>
      </w:r>
      <w:r w:rsidR="00011A91" w:rsidRPr="00F86E86">
        <w:tab/>
        <w:t xml:space="preserve">Внести зміни до </w:t>
      </w:r>
      <w:r w:rsidR="00011A91" w:rsidRPr="00F86E86">
        <w:rPr>
          <w:lang w:eastAsia="uk-UA"/>
        </w:rPr>
        <w:t>тендерної документації</w:t>
      </w:r>
      <w:r w:rsidR="00011A91" w:rsidRPr="00F86E86">
        <w:t>.</w:t>
      </w:r>
    </w:p>
    <w:p w:rsidR="00011A91" w:rsidRPr="00F86E86" w:rsidRDefault="00853A0A" w:rsidP="00011A91">
      <w:pPr>
        <w:tabs>
          <w:tab w:val="left" w:pos="567"/>
        </w:tabs>
        <w:jc w:val="both"/>
        <w:rPr>
          <w:lang w:eastAsia="uk-UA"/>
        </w:rPr>
      </w:pPr>
      <w:r>
        <w:t>2</w:t>
      </w:r>
      <w:r w:rsidR="00011A91" w:rsidRPr="00F86E86">
        <w:t>.</w:t>
      </w:r>
      <w:r w:rsidR="00011A91" w:rsidRPr="00F86E86">
        <w:tab/>
        <w:t xml:space="preserve">Оприлюднити нову редакцію </w:t>
      </w:r>
      <w:r w:rsidR="00011A91" w:rsidRPr="00F86E86">
        <w:rPr>
          <w:lang w:eastAsia="uk-UA"/>
        </w:rPr>
        <w:t>тендерної документації та цей протокол в електронній системі закупівель відповідно до п</w:t>
      </w:r>
      <w:r w:rsidR="00011A91">
        <w:rPr>
          <w:lang w:eastAsia="uk-UA"/>
        </w:rPr>
        <w:t>ункту</w:t>
      </w:r>
      <w:r w:rsidR="00011A91" w:rsidRPr="00F86E86">
        <w:rPr>
          <w:lang w:eastAsia="uk-UA"/>
        </w:rPr>
        <w:t xml:space="preserve"> 51 Особливостей.</w:t>
      </w:r>
    </w:p>
    <w:p w:rsidR="00011A91" w:rsidRPr="00F86E86" w:rsidRDefault="00011A91" w:rsidP="00011A91">
      <w:pPr>
        <w:tabs>
          <w:tab w:val="left" w:pos="567"/>
        </w:tabs>
        <w:jc w:val="both"/>
        <w:rPr>
          <w:lang w:eastAsia="uk-UA"/>
        </w:rPr>
      </w:pPr>
    </w:p>
    <w:p w:rsidR="00011A91" w:rsidRPr="00F86E86" w:rsidRDefault="00011A91" w:rsidP="00011A91">
      <w:pPr>
        <w:tabs>
          <w:tab w:val="left" w:pos="5040"/>
          <w:tab w:val="left" w:pos="7380"/>
        </w:tabs>
        <w:jc w:val="both"/>
      </w:pPr>
    </w:p>
    <w:p w:rsidR="00011A91" w:rsidRPr="00F86E86" w:rsidRDefault="00011A91" w:rsidP="00011A91">
      <w:pPr>
        <w:tabs>
          <w:tab w:val="left" w:pos="5040"/>
          <w:tab w:val="left" w:pos="7380"/>
        </w:tabs>
        <w:jc w:val="both"/>
        <w:rPr>
          <w:sz w:val="12"/>
          <w:szCs w:val="12"/>
        </w:rPr>
      </w:pPr>
    </w:p>
    <w:p w:rsidR="00011A91" w:rsidRPr="00F86E86" w:rsidRDefault="00011A91" w:rsidP="00011A91">
      <w:pPr>
        <w:tabs>
          <w:tab w:val="num" w:pos="1080"/>
          <w:tab w:val="left" w:pos="8100"/>
        </w:tabs>
        <w:ind w:firstLine="426"/>
        <w:jc w:val="both"/>
        <w:rPr>
          <w:b/>
          <w:bCs/>
        </w:rPr>
      </w:pPr>
      <w:r w:rsidRPr="00F86E86">
        <w:rPr>
          <w:b/>
          <w:bCs/>
        </w:rPr>
        <w:t>Уповноважена особа з питань</w:t>
      </w:r>
    </w:p>
    <w:p w:rsidR="00011A91" w:rsidRPr="00F86E86" w:rsidRDefault="00011A91" w:rsidP="00011A91">
      <w:pPr>
        <w:tabs>
          <w:tab w:val="num" w:pos="1080"/>
          <w:tab w:val="left" w:pos="8100"/>
        </w:tabs>
        <w:ind w:firstLine="426"/>
        <w:jc w:val="both"/>
        <w:rPr>
          <w:b/>
          <w:bCs/>
        </w:rPr>
      </w:pPr>
      <w:r w:rsidRPr="00F86E86">
        <w:rPr>
          <w:b/>
          <w:bCs/>
        </w:rPr>
        <w:t xml:space="preserve">закупівель товарів, робіт і послуг </w:t>
      </w:r>
    </w:p>
    <w:p w:rsidR="00011A91" w:rsidRPr="00F86E86" w:rsidRDefault="00011A91" w:rsidP="00AE0906">
      <w:pPr>
        <w:tabs>
          <w:tab w:val="num" w:pos="1080"/>
          <w:tab w:val="left" w:pos="7230"/>
        </w:tabs>
        <w:ind w:firstLine="426"/>
        <w:jc w:val="both"/>
        <w:rPr>
          <w:lang w:val="ru-RU"/>
        </w:rPr>
      </w:pPr>
      <w:r w:rsidRPr="00F86E86">
        <w:rPr>
          <w:b/>
          <w:bCs/>
        </w:rPr>
        <w:t>АТ «</w:t>
      </w:r>
      <w:r w:rsidR="00AE0906">
        <w:rPr>
          <w:b/>
          <w:bCs/>
        </w:rPr>
        <w:t>Прикарпаття</w:t>
      </w:r>
      <w:r w:rsidRPr="00F86E86">
        <w:rPr>
          <w:b/>
          <w:bCs/>
        </w:rPr>
        <w:t>обленерго»</w:t>
      </w:r>
      <w:r w:rsidRPr="00F86E86">
        <w:rPr>
          <w:b/>
          <w:bCs/>
        </w:rPr>
        <w:tab/>
      </w:r>
      <w:r w:rsidR="00AE0906">
        <w:rPr>
          <w:b/>
          <w:bCs/>
        </w:rPr>
        <w:t>Василь</w:t>
      </w:r>
      <w:r>
        <w:rPr>
          <w:b/>
          <w:bCs/>
        </w:rPr>
        <w:t xml:space="preserve"> </w:t>
      </w:r>
      <w:r w:rsidR="00AE0906">
        <w:rPr>
          <w:b/>
          <w:bCs/>
        </w:rPr>
        <w:t>КОСТЮК</w:t>
      </w:r>
    </w:p>
    <w:p w:rsidR="006221D0" w:rsidRDefault="006221D0"/>
    <w:sectPr w:rsidR="006221D0" w:rsidSect="00C401C2">
      <w:footerReference w:type="even" r:id="rId9"/>
      <w:pgSz w:w="11906" w:h="16838"/>
      <w:pgMar w:top="720" w:right="720" w:bottom="720" w:left="720"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12" w:rsidRDefault="00EA7812">
      <w:r>
        <w:separator/>
      </w:r>
    </w:p>
  </w:endnote>
  <w:endnote w:type="continuationSeparator" w:id="0">
    <w:p w:rsidR="00EA7812" w:rsidRDefault="00EA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34" w:rsidRDefault="00A143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3234" w:rsidRDefault="00EA78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12" w:rsidRDefault="00EA7812">
      <w:r>
        <w:separator/>
      </w:r>
    </w:p>
  </w:footnote>
  <w:footnote w:type="continuationSeparator" w:id="0">
    <w:p w:rsidR="00EA7812" w:rsidRDefault="00EA7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434"/>
    <w:multiLevelType w:val="hybridMultilevel"/>
    <w:tmpl w:val="9260FCA8"/>
    <w:lvl w:ilvl="0" w:tplc="5368121A">
      <w:start w:val="1"/>
      <w:numFmt w:val="decimal"/>
      <w:lvlText w:val="%1."/>
      <w:lvlJc w:val="left"/>
      <w:pPr>
        <w:ind w:left="1140" w:hanging="360"/>
      </w:pPr>
      <w:rPr>
        <w:b/>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1"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2C1C4C"/>
    <w:multiLevelType w:val="hybridMultilevel"/>
    <w:tmpl w:val="CE867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8E77E98"/>
    <w:multiLevelType w:val="hybridMultilevel"/>
    <w:tmpl w:val="A192DE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CA21C43"/>
    <w:multiLevelType w:val="hybridMultilevel"/>
    <w:tmpl w:val="8A6A85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91"/>
    <w:rsid w:val="00011A91"/>
    <w:rsid w:val="001054E2"/>
    <w:rsid w:val="00167875"/>
    <w:rsid w:val="00241DCF"/>
    <w:rsid w:val="005451B4"/>
    <w:rsid w:val="006221D0"/>
    <w:rsid w:val="006A55FB"/>
    <w:rsid w:val="006E196E"/>
    <w:rsid w:val="00853A0A"/>
    <w:rsid w:val="009B0D77"/>
    <w:rsid w:val="00A143BE"/>
    <w:rsid w:val="00AE0906"/>
    <w:rsid w:val="00B370F9"/>
    <w:rsid w:val="00BF129B"/>
    <w:rsid w:val="00E31900"/>
    <w:rsid w:val="00EA78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DCD6"/>
  <w15:chartTrackingRefBased/>
  <w15:docId w15:val="{1F471776-9745-4253-9602-16608E06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A9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11A91"/>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1A91"/>
    <w:rPr>
      <w:rFonts w:ascii="Times New Roman" w:eastAsia="Times New Roman" w:hAnsi="Times New Roman" w:cs="Times New Roman"/>
      <w:b/>
      <w:bCs/>
      <w:sz w:val="28"/>
      <w:szCs w:val="24"/>
      <w:lang w:eastAsia="ru-RU"/>
    </w:rPr>
  </w:style>
  <w:style w:type="paragraph" w:styleId="a3">
    <w:name w:val="caption"/>
    <w:basedOn w:val="a"/>
    <w:next w:val="a"/>
    <w:qFormat/>
    <w:rsid w:val="00011A91"/>
    <w:pPr>
      <w:jc w:val="center"/>
    </w:pPr>
    <w:rPr>
      <w:b/>
      <w:bCs/>
      <w:sz w:val="28"/>
    </w:rPr>
  </w:style>
  <w:style w:type="paragraph" w:styleId="a4">
    <w:name w:val="footer"/>
    <w:basedOn w:val="a"/>
    <w:link w:val="a5"/>
    <w:rsid w:val="00011A91"/>
    <w:pPr>
      <w:tabs>
        <w:tab w:val="center" w:pos="4677"/>
        <w:tab w:val="right" w:pos="9355"/>
      </w:tabs>
    </w:pPr>
  </w:style>
  <w:style w:type="character" w:customStyle="1" w:styleId="a5">
    <w:name w:val="Нижній колонтитул Знак"/>
    <w:basedOn w:val="a0"/>
    <w:link w:val="a4"/>
    <w:rsid w:val="00011A91"/>
    <w:rPr>
      <w:rFonts w:ascii="Times New Roman" w:eastAsia="Times New Roman" w:hAnsi="Times New Roman" w:cs="Times New Roman"/>
      <w:sz w:val="24"/>
      <w:szCs w:val="24"/>
      <w:lang w:eastAsia="ru-RU"/>
    </w:rPr>
  </w:style>
  <w:style w:type="character" w:styleId="a6">
    <w:name w:val="page number"/>
    <w:basedOn w:val="a0"/>
    <w:rsid w:val="00011A91"/>
  </w:style>
  <w:style w:type="paragraph" w:customStyle="1" w:styleId="1">
    <w:name w:val="Абзац списка1"/>
    <w:basedOn w:val="a"/>
    <w:uiPriority w:val="34"/>
    <w:qFormat/>
    <w:rsid w:val="00011A91"/>
    <w:pPr>
      <w:spacing w:after="200"/>
      <w:ind w:left="720"/>
      <w:contextualSpacing/>
    </w:pPr>
    <w:rPr>
      <w:sz w:val="22"/>
      <w:szCs w:val="22"/>
      <w:lang w:eastAsia="en-US"/>
    </w:rPr>
  </w:style>
  <w:style w:type="paragraph" w:styleId="HTML">
    <w:name w:val="HTML Preformatted"/>
    <w:basedOn w:val="a"/>
    <w:link w:val="HTML0"/>
    <w:qFormat/>
    <w:rsid w:val="0085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qFormat/>
    <w:rsid w:val="00853A0A"/>
    <w:rPr>
      <w:rFonts w:ascii="Courier New" w:eastAsia="Times New Roman" w:hAnsi="Courier New" w:cs="Times New Roman"/>
      <w:sz w:val="20"/>
      <w:szCs w:val="24"/>
      <w:lang w:eastAsia="ru-RU"/>
    </w:rPr>
  </w:style>
  <w:style w:type="paragraph" w:customStyle="1" w:styleId="a7">
    <w:name w:val="Абзац списка"/>
    <w:basedOn w:val="a"/>
    <w:qFormat/>
    <w:rsid w:val="00853A0A"/>
    <w:pPr>
      <w:spacing w:after="200" w:line="276" w:lineRule="auto"/>
      <w:ind w:left="720"/>
    </w:pPr>
    <w:rPr>
      <w:rFonts w:ascii="Calibri" w:eastAsia="Calibri" w:hAnsi="Calibri" w:cs="Calibri"/>
      <w:sz w:val="22"/>
      <w:szCs w:val="22"/>
      <w:lang w:val="ru-RU"/>
    </w:rPr>
  </w:style>
  <w:style w:type="table" w:styleId="a8">
    <w:name w:val="Table Grid"/>
    <w:basedOn w:val="a1"/>
    <w:uiPriority w:val="39"/>
    <w:rsid w:val="001054E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a"/>
    <w:uiPriority w:val="34"/>
    <w:qFormat/>
    <w:rsid w:val="001054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9"/>
    <w:uiPriority w:val="34"/>
    <w:qFormat/>
    <w:rsid w:val="001054E2"/>
    <w:rPr>
      <w:rFonts w:ascii="Calibri" w:eastAsia="Calibri" w:hAnsi="Calibri" w:cs="Times New Roman"/>
    </w:rPr>
  </w:style>
  <w:style w:type="paragraph" w:styleId="ab">
    <w:name w:val="No Spacing"/>
    <w:link w:val="ac"/>
    <w:uiPriority w:val="1"/>
    <w:qFormat/>
    <w:rsid w:val="001054E2"/>
    <w:pPr>
      <w:spacing w:after="0" w:line="240" w:lineRule="auto"/>
    </w:pPr>
    <w:rPr>
      <w:rFonts w:ascii="Times New Roman" w:eastAsia="Calibri" w:hAnsi="Times New Roman" w:cs="Times New Roman"/>
      <w:sz w:val="24"/>
      <w:szCs w:val="24"/>
      <w:lang w:eastAsia="ru-RU"/>
    </w:rPr>
  </w:style>
  <w:style w:type="character" w:customStyle="1" w:styleId="ac">
    <w:name w:val="Без інтервалів Знак"/>
    <w:link w:val="ab"/>
    <w:uiPriority w:val="1"/>
    <w:locked/>
    <w:rsid w:val="001054E2"/>
    <w:rPr>
      <w:rFonts w:ascii="Times New Roman" w:eastAsia="Calibri" w:hAnsi="Times New Roman" w:cs="Times New Roman"/>
      <w:sz w:val="24"/>
      <w:szCs w:val="24"/>
      <w:lang w:eastAsia="ru-RU"/>
    </w:rPr>
  </w:style>
  <w:style w:type="character" w:customStyle="1" w:styleId="js-apiid">
    <w:name w:val="js-apiid"/>
    <w:basedOn w:val="a0"/>
    <w:rsid w:val="00E31900"/>
  </w:style>
  <w:style w:type="paragraph" w:customStyle="1" w:styleId="ad">
    <w:name w:val="Обычный"/>
    <w:rsid w:val="00E3190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e">
    <w:name w:val="Основной шрифт абзаца"/>
    <w:rsid w:val="00E3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29888">
      <w:bodyDiv w:val="1"/>
      <w:marLeft w:val="0"/>
      <w:marRight w:val="0"/>
      <w:marTop w:val="0"/>
      <w:marBottom w:val="0"/>
      <w:divBdr>
        <w:top w:val="none" w:sz="0" w:space="0" w:color="auto"/>
        <w:left w:val="none" w:sz="0" w:space="0" w:color="auto"/>
        <w:bottom w:val="none" w:sz="0" w:space="0" w:color="auto"/>
        <w:right w:val="none" w:sz="0" w:space="0" w:color="auto"/>
      </w:divBdr>
    </w:div>
    <w:div w:id="14050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1-09-003250-a"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4400</Words>
  <Characters>2509</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Сибірцев Олександр Генадійович</dc:creator>
  <cp:keywords/>
  <dc:description/>
  <cp:lastModifiedBy>Іванишин Юлія Вікторівна</cp:lastModifiedBy>
  <cp:revision>2</cp:revision>
  <dcterms:created xsi:type="dcterms:W3CDTF">2024-01-19T14:08:00Z</dcterms:created>
  <dcterms:modified xsi:type="dcterms:W3CDTF">2024-01-19T14:08:00Z</dcterms:modified>
</cp:coreProperties>
</file>