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 xml:space="preserve"> Додаток 2</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 xml:space="preserve">до тендерної документації </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33600000-6</w:t>
      </w:r>
    </w:p>
    <w:p>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Pr>
          <w:rFonts w:ascii="Times New Roman" w:hAnsi="Times New Roman"/>
          <w:i/>
          <w:iCs/>
          <w:color w:val="000000"/>
          <w:sz w:val="24"/>
          <w:szCs w:val="24"/>
          <w:lang w:val="uk-UA" w:eastAsia="ru-RU"/>
        </w:rPr>
        <w:t>Фармацевтична продукція: Лікарські засоби різні</w:t>
      </w:r>
    </w:p>
    <w:p>
      <w:pPr>
        <w:tabs>
          <w:tab w:val="left" w:pos="142"/>
        </w:tabs>
        <w:spacing w:after="0" w:line="240" w:lineRule="auto"/>
        <w:jc w:val="both"/>
        <w:rPr>
          <w:rFonts w:ascii="Times New Roman" w:hAnsi="Times New Roman"/>
          <w:b/>
          <w:sz w:val="24"/>
          <w:szCs w:val="24"/>
          <w:lang w:val="uk-UA" w:eastAsia="ru-RU"/>
        </w:rPr>
      </w:pP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hint="default" w:ascii="Times New Roman" w:hAnsi="Times New Roman" w:cs="Times New Roman"/>
          <w:b/>
          <w:bCs/>
          <w:i/>
          <w:iCs/>
          <w:sz w:val="20"/>
          <w:szCs w:val="20"/>
          <w:lang w:val="uk-UA" w:eastAsia="ru-RU"/>
        </w:rPr>
      </w:pPr>
      <w:r>
        <w:rPr>
          <w:rFonts w:hint="default" w:ascii="Times New Roman" w:hAnsi="Times New Roman" w:cs="Times New Roman"/>
          <w:b/>
          <w:bCs/>
          <w:i/>
          <w:iCs/>
          <w:sz w:val="20"/>
          <w:szCs w:val="20"/>
          <w:lang w:val="uk-UA" w:eastAsia="ru-RU"/>
        </w:rPr>
        <w:t>ТЕХНІЧНА СПЕЦИФІКАЦІЯ</w:t>
      </w:r>
    </w:p>
    <w:tbl>
      <w:tblPr>
        <w:tblStyle w:val="3"/>
        <w:tblpPr w:leftFromText="180" w:rightFromText="180" w:vertAnchor="text" w:horzAnchor="page" w:tblpX="876" w:tblpY="1179"/>
        <w:tblW w:w="10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214"/>
        <w:gridCol w:w="1793"/>
        <w:gridCol w:w="89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7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lang w:val="ru-RU"/>
              </w:rPr>
              <w:t xml:space="preserve">                </w:t>
            </w:r>
            <w:r>
              <w:rPr>
                <w:rFonts w:hint="default" w:ascii="Times New Roman" w:hAnsi="Times New Roman" w:cs="Times New Roman"/>
                <w:b w:val="0"/>
                <w:bCs w:val="0"/>
                <w:iCs/>
                <w:sz w:val="20"/>
                <w:szCs w:val="20"/>
              </w:rPr>
              <w:t>№ п/п</w:t>
            </w:r>
          </w:p>
        </w:tc>
        <w:tc>
          <w:tcPr>
            <w:tcW w:w="6214"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 xml:space="preserve">Найменування товару </w:t>
            </w:r>
          </w:p>
        </w:tc>
        <w:tc>
          <w:tcPr>
            <w:tcW w:w="17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МНН</w:t>
            </w:r>
          </w:p>
        </w:tc>
        <w:tc>
          <w:tcPr>
            <w:tcW w:w="8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lang w:val="uk-UA"/>
              </w:rPr>
            </w:pPr>
            <w:r>
              <w:rPr>
                <w:rFonts w:hint="default" w:ascii="Times New Roman" w:hAnsi="Times New Roman" w:cs="Times New Roman"/>
                <w:b w:val="0"/>
                <w:bCs w:val="0"/>
                <w:iCs/>
                <w:sz w:val="20"/>
                <w:szCs w:val="20"/>
                <w:lang w:val="uk-UA"/>
              </w:rPr>
              <w:t xml:space="preserve">Од. </w:t>
            </w:r>
          </w:p>
          <w:p>
            <w:pPr>
              <w:shd w:val="clear" w:color="auto" w:fill="FFFFFF"/>
              <w:tabs>
                <w:tab w:val="left" w:pos="10381"/>
              </w:tabs>
              <w:snapToGrid w:val="0"/>
              <w:jc w:val="center"/>
              <w:rPr>
                <w:rFonts w:hint="default" w:ascii="Times New Roman" w:hAnsi="Times New Roman" w:cs="Times New Roman"/>
                <w:b w:val="0"/>
                <w:bCs w:val="0"/>
                <w:iCs/>
                <w:sz w:val="20"/>
                <w:szCs w:val="20"/>
                <w:lang w:val="uk-UA"/>
              </w:rPr>
            </w:pPr>
            <w:r>
              <w:rPr>
                <w:rFonts w:hint="default" w:ascii="Times New Roman" w:hAnsi="Times New Roman" w:cs="Times New Roman"/>
                <w:b w:val="0"/>
                <w:bCs w:val="0"/>
                <w:iCs/>
                <w:sz w:val="20"/>
                <w:szCs w:val="20"/>
                <w:lang w:val="uk-UA"/>
              </w:rPr>
              <w:t>вим.</w:t>
            </w:r>
          </w:p>
        </w:tc>
        <w:tc>
          <w:tcPr>
            <w:tcW w:w="1077"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К-сть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АЗИМЕД®. Порошок для оральної суспензії по 200 мг/5 мл для 30 мл оральної сусупензії разом з калібрувальним шприцом та мірною ложечкою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Azithromycin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АМОКСИЛ - К 625. Таблетки, вкриті плівковою оболонкою, по 500 мг/125 мг № 7х2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en-US"/>
              </w:rPr>
              <w:t>Amoxicillin and beta-lactamase inhibitor</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lang w:val="uk-UA"/>
              </w:rPr>
            </w:pPr>
            <w:r>
              <w:rPr>
                <w:rFonts w:hint="default" w:ascii="Times New Roman" w:hAnsi="Times New Roman" w:cs="Times New Roman"/>
                <w:bCs/>
                <w:color w:val="000000"/>
                <w:sz w:val="20"/>
                <w:szCs w:val="20"/>
                <w:lang w:val="uk-UA"/>
              </w:rPr>
              <w:t>Асиброкс табл. Шипучі 200 мг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color w:val="000000"/>
                <w:sz w:val="20"/>
                <w:szCs w:val="20"/>
                <w:shd w:val="clear" w:color="auto" w:fill="FFFFFF"/>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uk-UA"/>
              </w:rPr>
              <w:t>Асиброкс табл. Шипучі 600 мг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color w:val="000000"/>
                <w:sz w:val="20"/>
                <w:szCs w:val="20"/>
                <w:shd w:val="clear" w:color="auto" w:fill="FFFFFF"/>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АНАЛЬГІН-ДАРНИЦЯ . Таблетки по 0,5 г № 10 (10х1)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Metamizole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highlight w:val="yellow"/>
                <w:lang w:val="uk-UA"/>
              </w:rPr>
            </w:pPr>
            <w:r>
              <w:rPr>
                <w:rFonts w:hint="default" w:ascii="Times New Roman" w:hAnsi="Times New Roman" w:cs="Times New Roman"/>
                <w:bCs/>
                <w:color w:val="000000"/>
                <w:sz w:val="20"/>
                <w:szCs w:val="20"/>
              </w:rPr>
              <w:t>АМІДАРОН. Таблетки по 200мг, по 10 таблеток у блістері; по 3 блістери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rPr>
            </w:pPr>
            <w:r>
              <w:rPr>
                <w:rFonts w:hint="default" w:ascii="Times New Roman" w:hAnsi="Times New Roman" w:cs="Times New Roman"/>
                <w:bCs/>
                <w:color w:val="000000"/>
                <w:sz w:val="20"/>
                <w:szCs w:val="20"/>
              </w:rPr>
              <w:t>Amiodarone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ru-RU"/>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ru-RU"/>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АСКОРБІНОВА КИСЛОТА. Драже по 50 мг № 160 у контейнерах (баночках)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Ascorbic acid (vit 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АСКОРУТИН. Таблетки №10х5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Rutoside, combinations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АТОКСІЛ. Порошок по 2 г у пакетах-саше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Silicium dioxide*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highlight w:val="yellow"/>
              </w:rPr>
            </w:pPr>
            <w:r>
              <w:rPr>
                <w:rFonts w:hint="default" w:ascii="Times New Roman" w:hAnsi="Times New Roman" w:cs="Times New Roman"/>
                <w:bCs/>
                <w:color w:val="000000"/>
                <w:sz w:val="20"/>
                <w:szCs w:val="20"/>
              </w:rPr>
              <w:t>АСКОЦИН® МАКС. таблетки шипучі по 10 шипучих таблеток у поліпропіленовій тубі, по 1 тубі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highlight w:val="yellow"/>
                <w:shd w:val="clear" w:color="auto" w:fill="FFFFFF"/>
                <w:lang w:val="en-US"/>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АСПАЗМІН. Капсули з модифікованим вивільненням, тверді по 200 мг № 30 (10х3)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Mebeverine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АНТРАЛЬ®. Таблетки, вкриті оболонкою, по 0,2 г № 30 (10х3)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Antral*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uk-UA"/>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БІСОПРОЛ. Таблетки по 5 мг №50 (10х5)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Bisoprolol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highlight w:val="yellow"/>
              </w:rPr>
            </w:pPr>
            <w:r>
              <w:rPr>
                <w:rFonts w:hint="default" w:ascii="Times New Roman" w:hAnsi="Times New Roman" w:cs="Times New Roman"/>
                <w:bCs/>
                <w:color w:val="000000"/>
                <w:sz w:val="20"/>
                <w:szCs w:val="20"/>
              </w:rPr>
              <w:t>БУДЕСОНІД АСТРАЗЕНЕКА. Суспензія для розпилення, 0,25 мг/мл, по 2 мл у контейнері; по 5 контейнерів у конверті; по 4 конверти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Budesonide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БРОМГЕКСИН-ДАРНИЦЯ. Таблетки по 8 мг № 20 (20х1)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5F6368"/>
                <w:sz w:val="20"/>
                <w:szCs w:val="20"/>
                <w:shd w:val="clear" w:color="auto" w:fill="FFFFFF"/>
                <w:lang w:val="en-US"/>
              </w:rPr>
            </w:pPr>
            <w:r>
              <w:rPr>
                <w:rFonts w:hint="default" w:ascii="Times New Roman" w:hAnsi="Times New Roman" w:cs="Times New Roman"/>
                <w:bCs/>
                <w:color w:val="000000"/>
                <w:sz w:val="20"/>
                <w:szCs w:val="20"/>
              </w:rPr>
              <w:t>Bromhexine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БЕЛОСАЛІК. Мазь , по 30 г у тубі; по 1 тубі в картонній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5F6368"/>
                <w:sz w:val="20"/>
                <w:szCs w:val="20"/>
                <w:shd w:val="clear" w:color="auto" w:fill="FFFFFF"/>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БІСАКОДИЛ-ФАРМЕКС. супозиторії ректальні по 10мг №10 (5х2) у стрипах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Bisacodyl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uk-UA"/>
              </w:rPr>
              <w:t>Валідол табл. 6 мг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color w:val="000000"/>
                <w:sz w:val="20"/>
                <w:szCs w:val="20"/>
                <w:shd w:val="clear" w:color="auto" w:fill="FFFFFF"/>
              </w:rPr>
              <w:t>Validol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lang w:val="en-US"/>
              </w:rPr>
            </w:pPr>
            <w:r>
              <w:rPr>
                <w:rFonts w:hint="default" w:ascii="Times New Roman" w:hAnsi="Times New Roman" w:cs="Times New Roman"/>
                <w:bCs/>
                <w:color w:val="000000"/>
                <w:sz w:val="20"/>
                <w:szCs w:val="20"/>
              </w:rPr>
              <w:t>ВАЛЕРІАНИ НАСТОЙКА. Настойка по 25 мл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Valerianae radix</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НЕБУТАМОЛ®. Розчин для інгаляцій 1 мг/мл по 2 мл контейнерах однодозових № 10 (10х1), у пакетах з полімерної плівки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Salbutamol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uk-UA"/>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ВІДЕЇН. капсули м'які по 100 мкг (4000 МО); по 10 капсул у блістері; по 3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Colecalciferol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ВУГІЛЛЯ АКТИВОВАНЕ . Таблетки по 250 мг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Medicinal charcoal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ГАЛОПРИЛ. Таблетки по 1,5 мг № 50 (10х5)у блістерах в коробці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Haloperidol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ДІОКОР СОЛО 80. Таблетки, вкриті плівковою оболонкою, 80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Valsartan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ДРОТАВЕРИН-ДАРНИЦЯ. Розчин для ін'єкцій, 20 мг/мл по 2 мл в ампулах № 5</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Drotaverine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lang w:val="uk-UA"/>
              </w:rPr>
              <w:t>ДИМЕДРОЛ-ДАРНИЦЯ. розчин для ін'єкцій, 10 мг/мл по 1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Diphenhydramine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ДИКЛОФЕНАК-ДАРНИЦЯ . розчин для ін’єкцій, 25 мг/мл по 3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Diclofenac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ДИКЛОБЕРЛ® РЕТАРД. Капсули тверді пролонгованої дії по 100 мг по 10 капсул у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Diclofenac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ДОКСИЦИКЛІНУ ГІДРОХЛОРИД. Капсули по 100 мг № 10 (10х1) у блістерах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Doxycycline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ДІОКСИЗОЛЬ®-ДАРНИЦЯ. Розчин по 100 г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ІНГАЛІПТ-ЗДОРОВ'Я. Спрей для ротової порожнини по 30 мл у балоні з клапаном-насосом з насадкою-розпилювачем і захисним ковпачком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ІНГАМІСТ. Розчин для ін'єкцій, 100 мг/мл по 3 мл в ампулах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ЕРГОЦЕТАЛ. таблетки, вкриті плівковою оболонкою по 5 мг по 10 таблеток у блістері, по 3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Levocetirizine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ЕВКАЗОЛІН® Аква. Спрей назальний, дозований, 1 мг/г по 10 г у флаконах скляних з насосом-дозатором (пульверизатором)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Xylometazoline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ЕСПУМІЗАН®. Капсули м'які по 40 мг по 25 капсул у блістері; по 2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Silicones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ЕНАП®. Таблетки по 2,5 мг по 10 таблеток у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Enalapril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ЗОНІК. Капсули тверді по 75 мг, по 14 капсул у блістері; по 2 блістери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Pregabalin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ЗОЛОПЕНТ®. Таблетки, вкриті оболонкою, кишковорозчинні по 40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Pantoprazole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ЗИОМІЦИН®. Таблетки, вкриті оболонкою, по 500 мг № 3 (3х1)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Azithromycin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ЙОГУРТ. Капсули по 2 млрд активних клітин (КУО) № 30 у поліетиленових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Lactic acid producing organisms, combinations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КОМБІСПАЗМ® ГАСТРОКОМФОРТ .Таблетки, вкриті плівковою оболонкою № 20 (10х2)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Комбігрип®. табл. N80 (8х10)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Paracetamol, combinations excl.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КОРВАЛДИН® .Краплі оральні, по 25 мл у флаконі; по 1 флакону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Barbiturates in combination with other drugs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КЕТОДІН. Крем, 20 мг/г по 15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Ketoconazole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КЛОТРИМАЗОЛ. Мазь 1% по 25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Clotrimazole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КЕЙВЕР®. Таблетки, вкриті плівковою оболонкою, по 25 мг № 30 (10х3), у блістерах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Dexketoprofen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ЛЕВОКСИМЕД. краплі очні, розчин, 5 мг/мл по 5 мл у полімерних флаконах-крапельницях; 1 флакон-крапельниця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rPr>
              <w:t>ЛЕВОМЕКОЛЬ . Мазь по 40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МАГНІКОР. Таблетки, вкриті плівковою оболонкою, по 75 мг; по 10 таблеток у блістері; по 10 блістерів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Acetylsalicylic acid</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МАГНІЮ СУЛЬФАТ-ДАРНИЦЯ. розчин для ін'єкцій, 250 мг/мл по 5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Magnesium sulfate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Міасер табл. 30 мг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Mianserin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МОНТУЛАР® КІДС. таблетки жувальні по 5 мг; по 10 таблеток у блістері; по 3 блістери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Montelukast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МОНТЕГЕН. таблетки, вкриті плівковою оболонкою, по 10 мг; по 10 таблеток у блістері, по 3 блістери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Montelukast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МОТОПРИД. таблетки, вкриті плівковою оболонкою, по 50 мг по 10 таблеток у блістері, по 2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Itopride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МЕДОКЛАВ. Таблетки, вкриті плівковою оболонкою, по 875 мг/125 мг по 7 таблеток в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Amoxicillin and beta-lactamase inhibitor</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Metoclopramide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МЕФЕНАМIНОВА КИСЛОТА-ДАРНИЦЯ. таблетки по 500 мг у контурних чарункових упаковках № 10х2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Mefenamic acid</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МОКСИКУМ. таблетки, вкриті плівковою оболонкою, по 400 мг, по 7 таблеток у блістері; по 1 блістеру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Moxifloxacin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НАТРІЮ ХЛОРИДУ РОЗЧИН 0,9%. Розчин для інфузій 0,9 % по 100 мл у пляшках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Sodium chloride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НІМЕДАР. Гранули для оральної суспензії, 100 мг/2 г по 2 г гранул в однодозовому пакеті по 30 пакетів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Nimesulide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Німедар</w:t>
            </w:r>
            <w:r>
              <w:rPr>
                <w:rFonts w:hint="default" w:ascii="Times New Roman" w:hAnsi="Times New Roman" w:cs="Times New Roman"/>
                <w:bCs/>
                <w:color w:val="000000"/>
                <w:sz w:val="20"/>
                <w:szCs w:val="20"/>
              </w:rPr>
              <w:t xml:space="preserve">. гель </w:t>
            </w:r>
            <w:r>
              <w:rPr>
                <w:rFonts w:hint="default" w:ascii="Times New Roman" w:hAnsi="Times New Roman" w:cs="Times New Roman"/>
                <w:bCs/>
                <w:color w:val="000000"/>
                <w:sz w:val="20"/>
                <w:szCs w:val="20"/>
                <w:lang w:val="uk-UA"/>
              </w:rPr>
              <w:t>10 мг/г туба 30 г</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Nimesulide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 xml:space="preserve"> </w:t>
            </w:r>
            <w:r>
              <w:rPr>
                <w:rFonts w:hint="default" w:ascii="Times New Roman" w:hAnsi="Times New Roman" w:cs="Times New Roman"/>
                <w:bCs/>
                <w:color w:val="000000"/>
                <w:sz w:val="20"/>
                <w:szCs w:val="20"/>
                <w:lang w:val="uk-UA"/>
              </w:rPr>
              <w:t xml:space="preserve">Нормолакт </w:t>
            </w:r>
            <w:r>
              <w:rPr>
                <w:rFonts w:hint="default" w:ascii="Times New Roman" w:hAnsi="Times New Roman" w:cs="Times New Roman"/>
                <w:bCs/>
                <w:color w:val="000000"/>
                <w:sz w:val="20"/>
                <w:szCs w:val="20"/>
              </w:rPr>
              <w:t xml:space="preserve">Сироп, 670 мг/1 мл, по 200 мл у флаконі </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Lactulose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НОВОКАЇН-ЗДОРОВ'Я. Розчин для ін'єкцій, 5 мг/мл по 5 мл по 5 ампул у блістері; по 2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Procaine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ПАПАВЕРИН-ЗДОРОВ'Я. Розчин для ін'єкцій 20 мг/мл по 2 мл в ампулах в блістері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Papaverine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ПАНКРЕАТИН-ЗДОРОВ'Я ФОРТЕ 14000. Таблетки, вкриті оболонкою, кишковорозчинні № 10х5</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Multienzymes (lipase, protease etc.)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ПЕКТОЛВАН® Ц. Сироп по 100 мл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Пертусин с-п 100 г</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ПАНТЕНОЛ АЕРОЗОЛЬ. Піна нашкірна, 50 мг/г по 58 г у контейнерах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Dexpanthenol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ПІКОЛАКС®. Краплі оральні 0,75 % по 30 мл у флаконі, по 1 флакону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Sodium picosulfate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Ревіт драже № 80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РАБЕПРАЗОЛ-ЗДОРОВ'Я. Таблетки, вкриті плівковою оболонкою, кишковорозчинні по 20 мг, по 10 таблеток у блістері; по 2 блістери в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Rabeprazole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РИНАЗОЛІН®. Спрей назальний, 0,5 мг/мл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Oxymetazoline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Синтоміцин лінімент 5% 25 г туба</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Syntomycin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СПІРОНОЛАКТОН-ДАРНИЦЯ. Таблетки по 25 мг № 30 (10х3) у контурних чарункових упаковках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Spironolactone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СПИРТ ЕТИЛОВИЙ 70% . розчин спиртовий для зовнішнього застосування 70 % по 100 мл у флаконах зі скла</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Ethanol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СЕРРАТА®.Таблетки, вкриті оболонкою, кишковорозчинні по 10 мг № 150 (30х5) у стрипах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Serrapeptase*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СЕНАДЕКСИН-ЗДОРОВ'Я. Таблетки по 70 мг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Senna glycosides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ТЕМПАЛГІН®. Таблетки, вкриті оболонкою, № 20 (10х2)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Metamizole sodium, combinations with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ТИЗАЛУД. Таблетки по 2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Tizanidine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Ундевіт драже № 50</w:t>
            </w:r>
            <w:bookmarkStart w:id="0" w:name="_GoBack"/>
            <w:bookmarkEnd w:id="0"/>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ФУЦИС. Таблетки по 150 мг № 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Fluconazole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ФУЦИС®. Таблетки по 50 мг № 10 (10х1)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Fluconazole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ФОРІНЕКС .Спрей назальний, суспензія 50 мкг/дозу по 140 доз у флаконі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Mometasone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ФУРОСЕМІД-ДАРНИЦЯ. Розчин для ін'єкцій 10 мг/мл по 2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Furosemide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ФУРАЦИЛІН-ТЕРНОФАРМ. порошок для приготування розчину для зовнішнього застосування по 20 мг; по 0,94 г порошку в саше; по 30 саше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Nitrofural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Хлоргексидин р-н д/зовн. застос. 0,05 %   фл.  100 мл</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Chlorhexidine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ХЛОРОФІЛІПТ.спрей по 15 мл у контейнері , по 1 контейнеру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Chlorophyllipt*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ХЛОРОФІЛІПТ. Таблетки по 25 мг № 40 у контейнерах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Chlorophyllipt*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ЦИТРАМОН - ДАРНИЦЯ. Таблетки № 6 (6х1)у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Acetylsalicylic acid, combinations excl.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ЦИТОМОКСАН. краплі очні 0,5 % по 5 мл у флаконі; по 1 флакону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Moxifloxacin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ЦИПРОФЛОКСАЦИН. Таблетки, вкриті оболонкою, по 0,5 г № 10 (10х1) у блістері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Ciprofloxacin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3</w:t>
            </w:r>
            <w:r>
              <w:rPr>
                <w:rFonts w:hint="default" w:ascii="Times New Roman" w:hAnsi="Times New Roman" w:cs="Times New Roman"/>
                <w:bCs/>
                <w:color w:val="00000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ЦЕФИНАК. таблетки, вкриті плівковою оболонкою, по 200 мг № 10 (10х1)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Cefixime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ОПТИЦЕФ. таблетки, вкриті плівковою оболонкою, по 400 мг по 7 таблеток у блістері; по 2 блістери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Cefixime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L-ТИРОКСИН-ФАРМАК®. Таблетки по 100 мкг по 10 таблеток у блістері, по 5 блістерів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Levothyroxine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L-ТИРОКСИН-ФАРМАК®. Таблетки по 50 мкг № 50 (10х5)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Levothyroxine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Галоприл форте табл. 5 мл. №50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rPr>
              <w:t>Haloperidol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Зоресан 25 мл. капс. № 30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bCs/>
                <w:color w:val="000000"/>
                <w:sz w:val="20"/>
                <w:szCs w:val="20"/>
              </w:rPr>
              <w:t>Zonisamide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2</w:t>
            </w:r>
          </w:p>
        </w:tc>
      </w:tr>
    </w:tbl>
    <w:p>
      <w:pPr>
        <w:spacing w:after="0" w:line="240" w:lineRule="auto"/>
        <w:jc w:val="both"/>
        <w:rPr>
          <w:rFonts w:hint="default" w:ascii="Times New Roman" w:hAnsi="Times New Roman" w:cs="Times New Roman"/>
          <w:b w:val="0"/>
          <w:bCs w:val="0"/>
          <w:i/>
          <w:iCs/>
          <w:sz w:val="20"/>
          <w:szCs w:val="20"/>
          <w:lang w:val="uk-UA" w:eastAsia="ru-RU"/>
        </w:rPr>
      </w:pPr>
    </w:p>
    <w:p>
      <w:pPr>
        <w:spacing w:after="0" w:line="240" w:lineRule="auto"/>
        <w:jc w:val="center"/>
        <w:rPr>
          <w:rFonts w:ascii="Times New Roman" w:hAnsi="Times New Roman"/>
          <w:b w:val="0"/>
          <w:bCs w:val="0"/>
          <w:i/>
          <w:iCs/>
          <w:sz w:val="24"/>
          <w:szCs w:val="24"/>
          <w:lang w:val="uk-UA" w:eastAsia="ru-RU"/>
        </w:rPr>
      </w:pPr>
    </w:p>
    <w:p>
      <w:pPr>
        <w:jc w:val="center"/>
        <w:rPr>
          <w:rFonts w:ascii="Times New Roman" w:hAnsi="Times New Roman" w:eastAsia="Calibri"/>
          <w:b w:val="0"/>
          <w:bCs w:val="0"/>
          <w:color w:val="000000"/>
          <w:lang w:val="uk-UA"/>
        </w:rPr>
      </w:pPr>
      <w:r>
        <w:rPr>
          <w:rFonts w:ascii="Times New Roman" w:hAnsi="Times New Roman" w:eastAsia="Calibri"/>
          <w:b w:val="0"/>
          <w:bCs w:val="0"/>
          <w:color w:val="000000"/>
          <w:lang w:val="uk-UA"/>
        </w:rPr>
        <w:t>ЗАГАЛЬНІ ВИМОГИ:</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 xml:space="preserve">Усі запропоновані лікарські засоби мають бути належним чином зареєстрованими в МОЗ України </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 xml:space="preserve">Запропонований товар повинен бути якісним. </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При поставці товару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Pr>
          <w:rFonts w:ascii="Times New Roman" w:hAnsi="Times New Roman" w:eastAsia="Calibri"/>
          <w:b w:val="0"/>
          <w:bCs w:val="0"/>
          <w:lang w:val="uk-UA"/>
        </w:rPr>
        <w:t xml:space="preserve"> </w:t>
      </w:r>
      <w:r>
        <w:rPr>
          <w:rFonts w:ascii="Times New Roman" w:hAnsi="Times New Roman" w:eastAsia="Calibri"/>
          <w:b w:val="0"/>
          <w:bCs w:val="0"/>
          <w:i/>
          <w:lang w:val="uk-UA"/>
        </w:rPr>
        <w:t>Для підтвердження учасник надає гарантійний лист.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Строк придатності Товару на момент поставки повинен становити не менше 80% від загального терміну придатності.</w:t>
      </w:r>
    </w:p>
    <w:p>
      <w:pPr>
        <w:spacing w:after="0" w:line="256" w:lineRule="auto"/>
        <w:ind w:firstLine="567"/>
        <w:jc w:val="both"/>
        <w:rPr>
          <w:rFonts w:ascii="Times New Roman" w:hAnsi="Times New Roman" w:eastAsia="Calibri"/>
          <w:b w:val="0"/>
          <w:bCs w:val="0"/>
          <w:spacing w:val="1"/>
          <w:lang w:val="uk-UA"/>
        </w:rPr>
      </w:pPr>
      <w:r>
        <w:rPr>
          <w:rFonts w:ascii="Times New Roman" w:hAnsi="Times New Roman" w:eastAsia="Calibri"/>
          <w:b w:val="0"/>
          <w:bCs w:val="0"/>
          <w:i/>
          <w:spacing w:val="1"/>
          <w:lang w:val="uk-UA"/>
        </w:rPr>
        <w:t>Для підтвердження учасник надає гарантійний лист про термін придатності лікарських засобів.</w:t>
      </w:r>
    </w:p>
    <w:p>
      <w:pPr>
        <w:numPr>
          <w:ilvl w:val="0"/>
          <w:numId w:val="2"/>
        </w:numPr>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Учасник зобов'язаний забезпечити поставку (та розвантаження) лікарських засобів на склад закладу.</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На підтвердження Учасник повинен надати гарантійний лист у довільний формі, в якому підтверджує проведення доставки за рахунок Учасника.</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i/>
          <w:lang w:val="uk-UA"/>
        </w:rPr>
      </w:pPr>
      <w:r>
        <w:rPr>
          <w:rFonts w:ascii="Times New Roman" w:hAnsi="Times New Roman" w:eastAsia="Calibri"/>
          <w:b w:val="0"/>
          <w:bCs w:val="0"/>
          <w:lang w:val="uk-UA"/>
        </w:rPr>
        <w:t xml:space="preserve">Постачальник гарантує, що Товар новий, не перебував в експлуатації, термін та умови його зберігання не порушені. </w:t>
      </w:r>
      <w:r>
        <w:rPr>
          <w:rFonts w:ascii="Times New Roman" w:hAnsi="Times New Roman" w:eastAsia="Calibri"/>
          <w:b w:val="0"/>
          <w:bCs w:val="0"/>
          <w:i/>
          <w:lang w:val="uk-UA"/>
        </w:rPr>
        <w:t>(надати гарантійний лист від учасника у складі тендерної пропозиції).</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Надання</w:t>
      </w:r>
      <w:r>
        <w:rPr>
          <w:rFonts w:ascii="Times New Roman" w:hAnsi="Times New Roman" w:eastAsia="Calibri"/>
          <w:b w:val="0"/>
          <w:bCs w:val="0"/>
          <w:lang w:val="uk-UA"/>
        </w:rPr>
        <w:t xml:space="preserve"> </w:t>
      </w:r>
      <w:r>
        <w:rPr>
          <w:rFonts w:ascii="Times New Roman" w:hAnsi="Times New Roman" w:eastAsia="Calibri"/>
          <w:b w:val="0"/>
          <w:bCs w:val="0"/>
        </w:rPr>
        <w:t>копії</w:t>
      </w:r>
      <w:r>
        <w:rPr>
          <w:rFonts w:ascii="Times New Roman" w:hAnsi="Times New Roman" w:eastAsia="Calibri"/>
          <w:b w:val="0"/>
          <w:bCs w:val="0"/>
          <w:lang w:val="uk-UA"/>
        </w:rPr>
        <w:t xml:space="preserve"> </w:t>
      </w:r>
      <w:r>
        <w:rPr>
          <w:rFonts w:ascii="Times New Roman" w:hAnsi="Times New Roman" w:eastAsia="Calibri"/>
          <w:b w:val="0"/>
          <w:bCs w:val="0"/>
        </w:rPr>
        <w:t>Сертифікатів</w:t>
      </w:r>
      <w:r>
        <w:rPr>
          <w:rFonts w:ascii="Times New Roman" w:hAnsi="Times New Roman" w:eastAsia="Calibri"/>
          <w:b w:val="0"/>
          <w:bCs w:val="0"/>
          <w:lang w:val="uk-UA"/>
        </w:rPr>
        <w:t xml:space="preserve"> </w:t>
      </w:r>
      <w:r>
        <w:rPr>
          <w:rFonts w:ascii="Times New Roman" w:hAnsi="Times New Roman" w:eastAsia="Calibri"/>
          <w:b w:val="0"/>
          <w:bCs w:val="0"/>
        </w:rPr>
        <w:t>якості до лікарського</w:t>
      </w:r>
      <w:r>
        <w:rPr>
          <w:rFonts w:ascii="Times New Roman" w:hAnsi="Times New Roman" w:eastAsia="Calibri"/>
          <w:b w:val="0"/>
          <w:bCs w:val="0"/>
          <w:lang w:val="uk-UA"/>
        </w:rPr>
        <w:t xml:space="preserve"> </w:t>
      </w:r>
      <w:r>
        <w:rPr>
          <w:rFonts w:ascii="Times New Roman" w:hAnsi="Times New Roman" w:eastAsia="Calibri"/>
          <w:b w:val="0"/>
          <w:bCs w:val="0"/>
        </w:rPr>
        <w:t>засобу при поставці</w:t>
      </w:r>
      <w:r>
        <w:rPr>
          <w:rFonts w:ascii="Times New Roman" w:hAnsi="Times New Roman" w:eastAsia="Calibri"/>
          <w:b w:val="0"/>
          <w:bCs w:val="0"/>
          <w:lang w:val="uk-UA"/>
        </w:rPr>
        <w:t xml:space="preserve"> </w:t>
      </w:r>
      <w:r>
        <w:rPr>
          <w:rFonts w:ascii="Times New Roman" w:hAnsi="Times New Roman" w:eastAsia="Calibri"/>
          <w:b w:val="0"/>
          <w:bCs w:val="0"/>
        </w:rPr>
        <w:t>товару,або за зверненням</w:t>
      </w:r>
      <w:r>
        <w:rPr>
          <w:rFonts w:ascii="Times New Roman" w:hAnsi="Times New Roman" w:eastAsia="Calibri"/>
          <w:b w:val="0"/>
          <w:bCs w:val="0"/>
          <w:lang w:val="uk-UA"/>
        </w:rPr>
        <w:t xml:space="preserve"> </w:t>
      </w:r>
      <w:r>
        <w:rPr>
          <w:rFonts w:ascii="Times New Roman" w:hAnsi="Times New Roman" w:eastAsia="Calibri"/>
          <w:b w:val="0"/>
          <w:bCs w:val="0"/>
        </w:rPr>
        <w:t>Замовника  (</w:t>
      </w:r>
      <w:r>
        <w:rPr>
          <w:rFonts w:ascii="Times New Roman" w:hAnsi="Times New Roman" w:eastAsia="Calibri"/>
          <w:b w:val="0"/>
          <w:bCs w:val="0"/>
          <w:i/>
        </w:rPr>
        <w:t>надати</w:t>
      </w:r>
      <w:r>
        <w:rPr>
          <w:rFonts w:ascii="Times New Roman" w:hAnsi="Times New Roman" w:eastAsia="Calibri"/>
          <w:b w:val="0"/>
          <w:bCs w:val="0"/>
          <w:i/>
          <w:lang w:val="uk-UA"/>
        </w:rPr>
        <w:t xml:space="preserve"> </w:t>
      </w:r>
      <w:r>
        <w:rPr>
          <w:rFonts w:ascii="Times New Roman" w:hAnsi="Times New Roman" w:eastAsia="Calibri"/>
          <w:b w:val="0"/>
          <w:bCs w:val="0"/>
          <w:i/>
        </w:rPr>
        <w:t>гарантійний лист).</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Товар має</w:t>
      </w:r>
      <w:r>
        <w:rPr>
          <w:rFonts w:ascii="Times New Roman" w:hAnsi="Times New Roman" w:eastAsia="Calibri"/>
          <w:b w:val="0"/>
          <w:bCs w:val="0"/>
          <w:lang w:val="uk-UA"/>
        </w:rPr>
        <w:t xml:space="preserve"> </w:t>
      </w:r>
      <w:r>
        <w:rPr>
          <w:rFonts w:ascii="Times New Roman" w:hAnsi="Times New Roman" w:eastAsia="Calibri"/>
          <w:b w:val="0"/>
          <w:bCs w:val="0"/>
        </w:rPr>
        <w:t>супроводжуватися документами, що</w:t>
      </w:r>
      <w:r>
        <w:rPr>
          <w:rFonts w:ascii="Times New Roman" w:hAnsi="Times New Roman" w:eastAsia="Calibri"/>
          <w:b w:val="0"/>
          <w:bCs w:val="0"/>
          <w:lang w:val="uk-UA"/>
        </w:rPr>
        <w:t xml:space="preserve"> </w:t>
      </w:r>
      <w:r>
        <w:rPr>
          <w:rFonts w:ascii="Times New Roman" w:hAnsi="Times New Roman" w:eastAsia="Calibri"/>
          <w:b w:val="0"/>
          <w:bCs w:val="0"/>
        </w:rPr>
        <w:t>підтверджують</w:t>
      </w:r>
      <w:r>
        <w:rPr>
          <w:rFonts w:ascii="Times New Roman" w:hAnsi="Times New Roman" w:eastAsia="Calibri"/>
          <w:b w:val="0"/>
          <w:bCs w:val="0"/>
          <w:lang w:val="uk-UA"/>
        </w:rPr>
        <w:t xml:space="preserve"> </w:t>
      </w:r>
      <w:r>
        <w:rPr>
          <w:rFonts w:ascii="Times New Roman" w:hAnsi="Times New Roman" w:eastAsia="Calibri"/>
          <w:b w:val="0"/>
          <w:bCs w:val="0"/>
        </w:rPr>
        <w:t>якість та кількість товару</w:t>
      </w:r>
      <w:r>
        <w:rPr>
          <w:rFonts w:ascii="Times New Roman" w:hAnsi="Times New Roman" w:eastAsia="Calibri"/>
          <w:b w:val="0"/>
          <w:bCs w:val="0"/>
          <w:lang w:val="uk-UA"/>
        </w:rPr>
        <w:t>.</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Ціна повинна відповідати реєстру оптово-відпускних цін на лікарські засоби відповідно до вимог постанови КМУ від 02.07.2014 року №240 та, а також наказ МОЗ України від 18.08.2014 № 574.</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 сайту МОЗ України з такою інформацією). Уразі,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відсканований лист-пояснення відсутності такого документу на даний товар.</w:t>
      </w:r>
    </w:p>
    <w:p>
      <w:pPr>
        <w:tabs>
          <w:tab w:val="left" w:pos="10205"/>
        </w:tabs>
        <w:ind w:right="-55"/>
        <w:jc w:val="both"/>
        <w:rPr>
          <w:rFonts w:ascii="Times New Roman" w:hAnsi="Times New Roman" w:eastAsia="Calibri"/>
          <w:b w:val="0"/>
          <w:bCs w:val="0"/>
          <w:color w:val="000000"/>
          <w:lang w:val="uk-UA"/>
        </w:rPr>
      </w:pPr>
      <w:r>
        <w:rPr>
          <w:rFonts w:ascii="Times New Roman" w:hAnsi="Times New Roman" w:eastAsia="Calibri"/>
          <w:b w:val="0"/>
          <w:bCs w:val="0"/>
          <w:color w:val="000000"/>
          <w:lang w:val="uk-UA"/>
        </w:rPr>
        <w:t>Учасник має право подати еквівалент товару запропонованого Замовником у медико-технічних вимогах.</w:t>
      </w:r>
    </w:p>
    <w:p>
      <w:pPr>
        <w:tabs>
          <w:tab w:val="left" w:pos="-284"/>
        </w:tabs>
        <w:autoSpaceDN w:val="0"/>
        <w:spacing w:after="0" w:line="256" w:lineRule="auto"/>
        <w:ind w:left="284"/>
        <w:jc w:val="both"/>
        <w:rPr>
          <w:rFonts w:ascii="Times New Roman" w:hAnsi="Times New Roman" w:eastAsia="Calibri"/>
          <w:b w:val="0"/>
          <w:bCs w:val="0"/>
          <w:color w:val="000000"/>
          <w:lang w:val="uk-UA" w:eastAsia="ru-RU"/>
        </w:rPr>
      </w:pPr>
      <w:r>
        <w:rPr>
          <w:rFonts w:ascii="Times New Roman" w:hAnsi="Times New Roman" w:eastAsia="Calibri"/>
          <w:b w:val="0"/>
          <w:bCs w:val="0"/>
          <w:color w:val="000000"/>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eastAsia="Calibri"/>
          <w:b w:val="0"/>
          <w:bCs w:val="0"/>
          <w:lang w:val="uk-UA" w:eastAsia="ru-RU"/>
        </w:rPr>
        <w:t>поставки товару</w:t>
      </w:r>
      <w:r>
        <w:rPr>
          <w:rFonts w:ascii="Times New Roman" w:hAnsi="Times New Roman" w:eastAsia="Calibri"/>
          <w:b w:val="0"/>
          <w:bCs w:val="0"/>
          <w:color w:val="000000"/>
          <w:lang w:val="uk-UA" w:eastAsia="ru-RU"/>
        </w:rPr>
        <w:t>, у відповідності до вимог, визначених згідно з умовами тендерної документації.</w:t>
      </w:r>
    </w:p>
    <w:p>
      <w:pPr>
        <w:shd w:val="clear" w:color="auto" w:fill="FFFFFF"/>
        <w:spacing w:after="0" w:line="240" w:lineRule="auto"/>
        <w:ind w:firstLine="460"/>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eastAsia="Calibri"/>
          <w:b w:val="0"/>
          <w:bCs w:val="0"/>
          <w:iCs/>
          <w:lang w:val="uk-UA"/>
        </w:rPr>
      </w:pPr>
      <w:r>
        <w:rPr>
          <w:rFonts w:ascii="Times New Roman" w:hAnsi="Times New Roman" w:eastAsia="Calibri"/>
          <w:b w:val="0"/>
          <w:bCs w:val="0"/>
          <w:i/>
          <w:iCs/>
          <w:shd w:val="clear" w:color="auto" w:fill="FFFFFF"/>
          <w:lang w:val="uk-UA" w:eastAsia="ru-RU"/>
        </w:rPr>
        <w:t xml:space="preserve">В місцях, де технічна специфікація містить посилання на конкретні марку чи </w:t>
      </w:r>
      <w:r>
        <w:rPr>
          <w:rFonts w:ascii="Times New Roman" w:hAnsi="Times New Roman" w:eastAsia="Calibri"/>
          <w:b w:val="0"/>
          <w:bCs w:val="0"/>
          <w:iCs/>
          <w:shd w:val="clear" w:color="auto" w:fill="FFFFFF"/>
          <w:lang w:val="uk-UA" w:eastAsia="ru-RU"/>
        </w:rPr>
        <w:t>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вираз "або еквівалент".</w:t>
      </w:r>
    </w:p>
    <w:p>
      <w:pPr>
        <w:spacing w:after="0" w:line="240" w:lineRule="auto"/>
        <w:rPr>
          <w:rFonts w:ascii="Times New Roman" w:hAnsi="Times New Roman" w:eastAsia="Calibri"/>
          <w:b w:val="0"/>
          <w:bCs w:val="0"/>
          <w:lang w:val="uk-UA" w:eastAsia="ru-RU"/>
        </w:rPr>
      </w:pPr>
    </w:p>
    <w:p>
      <w:pPr>
        <w:spacing w:after="0" w:line="240" w:lineRule="auto"/>
        <w:ind w:firstLine="708"/>
        <w:jc w:val="both"/>
        <w:rPr>
          <w:rFonts w:ascii="Times New Roman" w:hAnsi="Times New Roman" w:eastAsia="Calibri"/>
          <w:b w:val="0"/>
          <w:bCs w:val="0"/>
          <w:shd w:val="clear" w:color="auto" w:fill="FFFFFF"/>
          <w:lang w:val="uk-UA" w:eastAsia="ru-RU"/>
        </w:rPr>
      </w:pPr>
      <w:r>
        <w:rPr>
          <w:rFonts w:ascii="Times New Roman" w:hAnsi="Times New Roman" w:eastAsia="Calibri"/>
          <w:b w:val="0"/>
          <w:bCs w:val="0"/>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pacing w:after="0" w:line="240" w:lineRule="auto"/>
        <w:ind w:firstLine="708"/>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b w:val="0"/>
          <w:bCs w:val="0"/>
          <w:i/>
          <w:iCs/>
          <w:lang w:val="uk-UA" w:eastAsia="ru-RU"/>
        </w:rPr>
      </w:pPr>
      <w:r>
        <w:rPr>
          <w:rFonts w:ascii="Times New Roman" w:hAnsi="Times New Roman" w:eastAsia="Calibri"/>
          <w:b w:val="0"/>
          <w:bCs w:val="0"/>
          <w:color w:val="000000"/>
          <w:shd w:val="clear" w:color="auto" w:fill="FFFFFF"/>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sectPr>
      <w:pgSz w:w="12240" w:h="15840"/>
      <w:pgMar w:top="426" w:right="616" w:bottom="284"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02A42"/>
    <w:multiLevelType w:val="multilevel"/>
    <w:tmpl w:val="3AC02A42"/>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BB6759"/>
    <w:multiLevelType w:val="multilevel"/>
    <w:tmpl w:val="5EBB6759"/>
    <w:lvl w:ilvl="0" w:tentative="0">
      <w:start w:val="1"/>
      <w:numFmt w:val="decimal"/>
      <w:lvlText w:val="%1."/>
      <w:lvlJc w:val="left"/>
      <w:pPr>
        <w:ind w:left="644"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022062"/>
    <w:rsid w:val="0009550A"/>
    <w:rsid w:val="000C5534"/>
    <w:rsid w:val="001B0823"/>
    <w:rsid w:val="001F2D18"/>
    <w:rsid w:val="00203D4E"/>
    <w:rsid w:val="00233F1A"/>
    <w:rsid w:val="00234BEC"/>
    <w:rsid w:val="002808C4"/>
    <w:rsid w:val="00356576"/>
    <w:rsid w:val="00363A6E"/>
    <w:rsid w:val="003E4231"/>
    <w:rsid w:val="00425BCA"/>
    <w:rsid w:val="00445EAB"/>
    <w:rsid w:val="00477D09"/>
    <w:rsid w:val="00482038"/>
    <w:rsid w:val="00497150"/>
    <w:rsid w:val="004F6EC6"/>
    <w:rsid w:val="00541F5E"/>
    <w:rsid w:val="00566130"/>
    <w:rsid w:val="00587174"/>
    <w:rsid w:val="006565DB"/>
    <w:rsid w:val="006B7F68"/>
    <w:rsid w:val="006E04B5"/>
    <w:rsid w:val="006F4946"/>
    <w:rsid w:val="00707571"/>
    <w:rsid w:val="0071029F"/>
    <w:rsid w:val="0074330B"/>
    <w:rsid w:val="00743D4D"/>
    <w:rsid w:val="007A0E7F"/>
    <w:rsid w:val="007E604F"/>
    <w:rsid w:val="00801FD5"/>
    <w:rsid w:val="00816437"/>
    <w:rsid w:val="008712B9"/>
    <w:rsid w:val="0090196D"/>
    <w:rsid w:val="00910C41"/>
    <w:rsid w:val="009144CF"/>
    <w:rsid w:val="0091654E"/>
    <w:rsid w:val="009A3BD4"/>
    <w:rsid w:val="009C637D"/>
    <w:rsid w:val="009D323F"/>
    <w:rsid w:val="00A1584A"/>
    <w:rsid w:val="00A31744"/>
    <w:rsid w:val="00A4671A"/>
    <w:rsid w:val="00A90F9C"/>
    <w:rsid w:val="00BA6E7D"/>
    <w:rsid w:val="00BF1017"/>
    <w:rsid w:val="00BF623C"/>
    <w:rsid w:val="00CA2FA9"/>
    <w:rsid w:val="00CE3CA0"/>
    <w:rsid w:val="00D72B6A"/>
    <w:rsid w:val="00D82B64"/>
    <w:rsid w:val="00D8638A"/>
    <w:rsid w:val="00DE2781"/>
    <w:rsid w:val="00EC3D56"/>
    <w:rsid w:val="00EC5A56"/>
    <w:rsid w:val="00F20E6B"/>
    <w:rsid w:val="00F81760"/>
    <w:rsid w:val="00F97025"/>
    <w:rsid w:val="11035875"/>
    <w:rsid w:val="122C529B"/>
    <w:rsid w:val="15F430DC"/>
    <w:rsid w:val="165E6E8A"/>
    <w:rsid w:val="18C565E7"/>
    <w:rsid w:val="1A163287"/>
    <w:rsid w:val="1A6067C4"/>
    <w:rsid w:val="1A6719F9"/>
    <w:rsid w:val="25A17EF1"/>
    <w:rsid w:val="2E7A2B78"/>
    <w:rsid w:val="320B5800"/>
    <w:rsid w:val="3D9D3936"/>
    <w:rsid w:val="3F765CFA"/>
    <w:rsid w:val="4565557C"/>
    <w:rsid w:val="464D3AEB"/>
    <w:rsid w:val="4CFD58E4"/>
    <w:rsid w:val="50C96ECF"/>
    <w:rsid w:val="57EB3BDA"/>
    <w:rsid w:val="59812CCE"/>
    <w:rsid w:val="59DA12FC"/>
    <w:rsid w:val="5A91473B"/>
    <w:rsid w:val="5C1B0A7F"/>
    <w:rsid w:val="5C224006"/>
    <w:rsid w:val="5CE123F8"/>
    <w:rsid w:val="5F7B5536"/>
    <w:rsid w:val="61F55128"/>
    <w:rsid w:val="6C59312C"/>
    <w:rsid w:val="71E412EC"/>
    <w:rsid w:val="76732763"/>
    <w:rsid w:val="7CCE36EE"/>
    <w:rsid w:val="7FBC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Balloon Text"/>
    <w:basedOn w:val="1"/>
    <w:link w:val="8"/>
    <w:semiHidden/>
    <w:unhideWhenUsed/>
    <w:qFormat/>
    <w:uiPriority w:val="99"/>
    <w:pPr>
      <w:spacing w:after="0" w:line="240" w:lineRule="auto"/>
    </w:pPr>
    <w:rPr>
      <w:rFonts w:ascii="Segoe UI" w:hAnsi="Segoe UI" w:cs="Segoe UI"/>
      <w:sz w:val="18"/>
      <w:szCs w:val="18"/>
    </w:rPr>
  </w:style>
  <w:style w:type="paragraph" w:styleId="6">
    <w:name w:val="No Spacing"/>
    <w:link w:val="7"/>
    <w:qFormat/>
    <w:uiPriority w:val="1"/>
    <w:rPr>
      <w:rFonts w:ascii="Calibri" w:hAnsi="Calibri" w:eastAsia="Calibri" w:cs="Times New Roman"/>
      <w:sz w:val="22"/>
      <w:szCs w:val="22"/>
      <w:lang w:val="uk-UA" w:eastAsia="en-US" w:bidi="ar-SA"/>
    </w:rPr>
  </w:style>
  <w:style w:type="character" w:customStyle="1" w:styleId="7">
    <w:name w:val="Без интервала Знак"/>
    <w:link w:val="6"/>
    <w:qFormat/>
    <w:uiPriority w:val="1"/>
    <w:rPr>
      <w:rFonts w:ascii="Calibri" w:hAnsi="Calibri" w:eastAsia="Calibri" w:cs="Times New Roman"/>
      <w:lang w:val="uk-UA"/>
    </w:rPr>
  </w:style>
  <w:style w:type="character" w:customStyle="1" w:styleId="8">
    <w:name w:val="Текст выноски Знак"/>
    <w:basedOn w:val="2"/>
    <w:link w:val="5"/>
    <w:semiHidden/>
    <w:qFormat/>
    <w:uiPriority w:val="99"/>
    <w:rPr>
      <w:rFonts w:ascii="Segoe UI" w:hAnsi="Segoe UI" w:eastAsia="Times New Roman" w:cs="Segoe UI"/>
      <w:sz w:val="18"/>
      <w:szCs w:val="18"/>
      <w:lang w:val="ru-RU"/>
    </w:rPr>
  </w:style>
  <w:style w:type="paragraph" w:customStyle="1" w:styleId="9">
    <w:name w:val="docdata"/>
    <w:basedOn w:val="1"/>
    <w:qFormat/>
    <w:uiPriority w:val="0"/>
    <w:pPr>
      <w:spacing w:before="100" w:beforeAutospacing="1" w:after="100" w:afterAutospacing="1"/>
    </w:pPr>
  </w:style>
  <w:style w:type="character" w:customStyle="1" w:styleId="10">
    <w:name w:val="2262"/>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E597-B554-4B67-B8D7-3FC6D5DBBCD5}">
  <ds:schemaRefs/>
</ds:datastoreItem>
</file>

<file path=docProps/app.xml><?xml version="1.0" encoding="utf-8"?>
<Properties xmlns="http://schemas.openxmlformats.org/officeDocument/2006/extended-properties" xmlns:vt="http://schemas.openxmlformats.org/officeDocument/2006/docPropsVTypes">
  <Template>Normal</Template>
  <Pages>1</Pages>
  <Words>3535</Words>
  <Characters>2016</Characters>
  <Lines>16</Lines>
  <Paragraphs>11</Paragraphs>
  <TotalTime>334</TotalTime>
  <ScaleCrop>false</ScaleCrop>
  <LinksUpToDate>false</LinksUpToDate>
  <CharactersWithSpaces>5540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cp:lastPrinted>2023-03-03T08:29:00Z</cp:lastPrinted>
  <dcterms:modified xsi:type="dcterms:W3CDTF">2024-04-12T12:29:51Z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C7DCA97EC828488E98C9422DC18FAE52_13</vt:lpwstr>
  </property>
</Properties>
</file>