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76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3"/>
        <w:gridCol w:w="6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99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69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val="uk-UA"/>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ascii="Times New Roman" w:hAnsi="Times New Roman"/>
                <w:b/>
                <w:sz w:val="24"/>
                <w:szCs w:val="24"/>
                <w:lang w:val="uk-UA"/>
              </w:rPr>
              <w:t>код ДК 021:2015: 33600000-6 Фармацевтична продукція</w:t>
            </w:r>
          </w:p>
          <w:p>
            <w:pPr>
              <w:pStyle w:val="4"/>
              <w:tabs>
                <w:tab w:val="left" w:pos="296"/>
              </w:tabs>
              <w:suppressAutoHyphens/>
              <w:spacing w:after="0" w:line="240" w:lineRule="auto"/>
              <w:ind w:left="0"/>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10419" w:type="dxa"/>
        <w:tblInd w:w="-100" w:type="dxa"/>
        <w:tblLayout w:type="fixed"/>
        <w:tblCellMar>
          <w:top w:w="0" w:type="dxa"/>
          <w:left w:w="108" w:type="dxa"/>
          <w:bottom w:w="0" w:type="dxa"/>
          <w:right w:w="108" w:type="dxa"/>
        </w:tblCellMar>
      </w:tblPr>
      <w:tblGrid>
        <w:gridCol w:w="765"/>
        <w:gridCol w:w="4350"/>
        <w:gridCol w:w="5304"/>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530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530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5304"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5304"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10476" w:type="dxa"/>
        <w:tblInd w:w="-100" w:type="dxa"/>
        <w:tblLayout w:type="fixed"/>
        <w:tblCellMar>
          <w:top w:w="0" w:type="dxa"/>
          <w:left w:w="108" w:type="dxa"/>
          <w:bottom w:w="0" w:type="dxa"/>
          <w:right w:w="108" w:type="dxa"/>
        </w:tblCellMar>
      </w:tblPr>
      <w:tblGrid>
        <w:gridCol w:w="587"/>
        <w:gridCol w:w="4427"/>
        <w:gridCol w:w="5462"/>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546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546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5462"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5462"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bl>
    <w:p>
      <w:pPr>
        <w:shd w:val="clear" w:color="auto" w:fill="FFFFFF"/>
        <w:spacing w:after="0" w:line="240" w:lineRule="auto"/>
        <w:rPr>
          <w:rFonts w:ascii="Times New Roman" w:hAnsi="Times New Roman" w:eastAsia="Times New Roman" w:cs="Times New Roman"/>
          <w:sz w:val="24"/>
          <w:szCs w:val="24"/>
        </w:rPr>
      </w:pPr>
      <w:bookmarkStart w:id="0" w:name="_GoBack"/>
      <w:bookmarkEnd w:id="0"/>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10499" w:type="dxa"/>
        <w:tblInd w:w="-100" w:type="dxa"/>
        <w:tblLayout w:type="fixed"/>
        <w:tblCellMar>
          <w:top w:w="0" w:type="dxa"/>
          <w:left w:w="108" w:type="dxa"/>
          <w:bottom w:w="0" w:type="dxa"/>
          <w:right w:w="108" w:type="dxa"/>
        </w:tblCellMar>
      </w:tblPr>
      <w:tblGrid>
        <w:gridCol w:w="400"/>
        <w:gridCol w:w="10099"/>
      </w:tblGrid>
      <w:tr>
        <w:tblPrEx>
          <w:tblCellMar>
            <w:top w:w="0" w:type="dxa"/>
            <w:left w:w="108" w:type="dxa"/>
            <w:bottom w:w="0" w:type="dxa"/>
            <w:right w:w="108" w:type="dxa"/>
          </w:tblCellMar>
        </w:tblPrEx>
        <w:trPr>
          <w:trHeight w:val="124" w:hRule="atLeast"/>
        </w:trPr>
        <w:tc>
          <w:tcPr>
            <w:tcW w:w="1049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100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100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516941"/>
    <w:rsid w:val="00611D40"/>
    <w:rsid w:val="00763720"/>
    <w:rsid w:val="00775C90"/>
    <w:rsid w:val="007B3698"/>
    <w:rsid w:val="00801717"/>
    <w:rsid w:val="00813F36"/>
    <w:rsid w:val="0091567B"/>
    <w:rsid w:val="00986C25"/>
    <w:rsid w:val="009C6156"/>
    <w:rsid w:val="00A36283"/>
    <w:rsid w:val="00AA61B8"/>
    <w:rsid w:val="00B67188"/>
    <w:rsid w:val="00C1426C"/>
    <w:rsid w:val="00C558FD"/>
    <w:rsid w:val="00D07D97"/>
    <w:rsid w:val="00D70273"/>
    <w:rsid w:val="00DA52F1"/>
    <w:rsid w:val="00DD7E32"/>
    <w:rsid w:val="00E94BA1"/>
    <w:rsid w:val="00EC3E58"/>
    <w:rsid w:val="00F8397A"/>
    <w:rsid w:val="17CE538A"/>
    <w:rsid w:val="2BAF33FF"/>
    <w:rsid w:val="3EC20523"/>
    <w:rsid w:val="3FED3350"/>
    <w:rsid w:val="4C0058CF"/>
    <w:rsid w:val="56135F94"/>
    <w:rsid w:val="561E52BC"/>
    <w:rsid w:val="5E360710"/>
    <w:rsid w:val="70F7392B"/>
    <w:rsid w:val="77E6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8373</Words>
  <Characters>4773</Characters>
  <Lines>39</Lines>
  <Paragraphs>26</Paragraphs>
  <TotalTime>4</TotalTime>
  <ScaleCrop>false</ScaleCrop>
  <LinksUpToDate>false</LinksUpToDate>
  <CharactersWithSpaces>13120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dcterms:modified xsi:type="dcterms:W3CDTF">2024-04-09T12:29:13Z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187823FF3D6B4326B300D6169E4CDA3E_13</vt:lpwstr>
  </property>
</Properties>
</file>