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BB" w:rsidRPr="00C03464" w:rsidRDefault="00E436BB" w:rsidP="00E436BB">
      <w:pPr>
        <w:jc w:val="right"/>
        <w:rPr>
          <w:b/>
          <w:sz w:val="22"/>
          <w:szCs w:val="22"/>
        </w:rPr>
      </w:pPr>
      <w:r w:rsidRPr="00C03464">
        <w:rPr>
          <w:b/>
          <w:sz w:val="22"/>
          <w:szCs w:val="22"/>
        </w:rPr>
        <w:t xml:space="preserve">Додаток № </w:t>
      </w:r>
      <w:r w:rsidR="00AB64EB">
        <w:rPr>
          <w:b/>
          <w:sz w:val="22"/>
          <w:szCs w:val="22"/>
        </w:rPr>
        <w:t>2</w:t>
      </w:r>
    </w:p>
    <w:p w:rsidR="00E436BB" w:rsidRPr="00C03464" w:rsidRDefault="00E436BB" w:rsidP="00E436BB">
      <w:pPr>
        <w:jc w:val="right"/>
        <w:rPr>
          <w:b/>
          <w:sz w:val="22"/>
          <w:szCs w:val="22"/>
        </w:rPr>
      </w:pPr>
      <w:r w:rsidRPr="00C03464">
        <w:rPr>
          <w:b/>
          <w:sz w:val="22"/>
          <w:szCs w:val="22"/>
        </w:rPr>
        <w:t>до тендерної документації</w:t>
      </w:r>
    </w:p>
    <w:p w:rsidR="00E436BB" w:rsidRPr="00C03464" w:rsidRDefault="00E436BB" w:rsidP="00E436BB">
      <w:pPr>
        <w:jc w:val="right"/>
        <w:rPr>
          <w:b/>
          <w:sz w:val="22"/>
          <w:szCs w:val="22"/>
        </w:rPr>
      </w:pPr>
    </w:p>
    <w:p w:rsidR="00E436BB" w:rsidRPr="00C03464" w:rsidRDefault="00E436BB" w:rsidP="00E436BB">
      <w:pPr>
        <w:jc w:val="center"/>
        <w:rPr>
          <w:b/>
          <w:bCs/>
          <w:caps/>
        </w:rPr>
      </w:pPr>
      <w:r w:rsidRPr="00C03464">
        <w:rPr>
          <w:b/>
          <w:bCs/>
          <w:caps/>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436BB" w:rsidRDefault="00717638" w:rsidP="00E436BB">
      <w:pPr>
        <w:jc w:val="center"/>
        <w:rPr>
          <w:b/>
          <w:bCs/>
          <w:sz w:val="22"/>
          <w:szCs w:val="22"/>
        </w:rPr>
      </w:pPr>
      <w:r>
        <w:rPr>
          <w:b/>
          <w:bCs/>
          <w:sz w:val="22"/>
          <w:szCs w:val="22"/>
        </w:rPr>
        <w:t>Б</w:t>
      </w:r>
      <w:r w:rsidR="00E436BB" w:rsidRPr="001E5F1D">
        <w:rPr>
          <w:b/>
          <w:bCs/>
          <w:sz w:val="22"/>
          <w:szCs w:val="22"/>
        </w:rPr>
        <w:t>ензин А-95 (код за ДК 021:2015 - 09130000-9 Нафта і дистиляти)</w:t>
      </w:r>
    </w:p>
    <w:p w:rsidR="00E436BB" w:rsidRPr="00B50363" w:rsidRDefault="00E436BB" w:rsidP="00E436BB">
      <w:pPr>
        <w:jc w:val="center"/>
        <w:rPr>
          <w:b/>
          <w:i/>
          <w:iCs/>
          <w:sz w:val="22"/>
          <w:szCs w:val="22"/>
          <w:lang w:eastAsia="uk-UA"/>
        </w:rPr>
      </w:pPr>
      <w:r w:rsidRPr="00B50363">
        <w:rPr>
          <w:i/>
          <w:iCs/>
          <w:sz w:val="22"/>
          <w:szCs w:val="22"/>
          <w:lang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B50363">
        <w:rPr>
          <w:b/>
          <w:i/>
          <w:iCs/>
          <w:sz w:val="22"/>
          <w:szCs w:val="22"/>
          <w:lang w:eastAsia="uk-UA"/>
        </w:rPr>
        <w:t xml:space="preserve">«або еквівалент»* </w:t>
      </w:r>
    </w:p>
    <w:p w:rsidR="00E436BB" w:rsidRDefault="00E436BB" w:rsidP="00E436BB">
      <w:pPr>
        <w:jc w:val="center"/>
        <w:rPr>
          <w:b/>
          <w:i/>
          <w:iCs/>
          <w:sz w:val="22"/>
          <w:szCs w:val="22"/>
          <w:lang w:eastAsia="uk-UA"/>
        </w:rPr>
      </w:pPr>
      <w:r w:rsidRPr="00B50363">
        <w:rPr>
          <w:b/>
          <w:i/>
          <w:iCs/>
          <w:sz w:val="22"/>
          <w:szCs w:val="22"/>
          <w:lang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E436BB" w:rsidRDefault="00E436BB" w:rsidP="00E436BB">
      <w:pPr>
        <w:jc w:val="center"/>
        <w:rPr>
          <w:b/>
          <w:i/>
          <w:iCs/>
          <w:sz w:val="22"/>
          <w:szCs w:val="22"/>
          <w:lang w:eastAsia="uk-UA"/>
        </w:rPr>
      </w:pPr>
    </w:p>
    <w:p w:rsidR="00E436BB" w:rsidRDefault="00E436BB" w:rsidP="00E436BB">
      <w:pPr>
        <w:shd w:val="clear" w:color="auto" w:fill="FFFFFF"/>
        <w:ind w:left="34" w:right="1"/>
        <w:jc w:val="center"/>
        <w:rPr>
          <w:b/>
          <w:sz w:val="22"/>
          <w:szCs w:val="22"/>
        </w:rPr>
      </w:pPr>
      <w:r w:rsidRPr="009544DF">
        <w:rPr>
          <w:b/>
          <w:sz w:val="22"/>
          <w:szCs w:val="22"/>
        </w:rPr>
        <w:t xml:space="preserve">ТЕХНІЧНІ ВИМОГИ І ЯКІСНІ ХАРАКТЕРИСТИКИ </w:t>
      </w:r>
    </w:p>
    <w:p w:rsidR="00E436BB" w:rsidRPr="0035735F" w:rsidRDefault="00E436BB" w:rsidP="00E436BB">
      <w:pPr>
        <w:numPr>
          <w:ilvl w:val="0"/>
          <w:numId w:val="1"/>
        </w:numPr>
        <w:ind w:left="0" w:firstLine="709"/>
        <w:jc w:val="both"/>
        <w:rPr>
          <w:sz w:val="22"/>
          <w:szCs w:val="22"/>
        </w:rPr>
      </w:pPr>
      <w:r w:rsidRPr="0035735F">
        <w:rPr>
          <w:sz w:val="22"/>
          <w:szCs w:val="22"/>
        </w:rPr>
        <w:t>Учасник-Переможець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E436BB" w:rsidRPr="0035735F" w:rsidRDefault="00E436BB" w:rsidP="00E436BB">
      <w:pPr>
        <w:ind w:firstLine="709"/>
        <w:jc w:val="both"/>
        <w:rPr>
          <w:sz w:val="22"/>
          <w:szCs w:val="22"/>
        </w:rPr>
      </w:pPr>
      <w:r w:rsidRPr="0035735F">
        <w:rPr>
          <w:sz w:val="22"/>
          <w:szCs w:val="22"/>
        </w:rPr>
        <w:t xml:space="preserve">Кількість товару – </w:t>
      </w:r>
      <w:r w:rsidR="00821F82">
        <w:rPr>
          <w:sz w:val="22"/>
          <w:szCs w:val="22"/>
        </w:rPr>
        <w:t>62</w:t>
      </w:r>
      <w:r w:rsidR="00FF0DC7">
        <w:rPr>
          <w:sz w:val="22"/>
          <w:szCs w:val="22"/>
        </w:rPr>
        <w:t>00</w:t>
      </w:r>
      <w:r w:rsidRPr="0035735F">
        <w:rPr>
          <w:sz w:val="22"/>
          <w:szCs w:val="22"/>
        </w:rPr>
        <w:t xml:space="preserve"> л, у тому числі:</w:t>
      </w:r>
    </w:p>
    <w:p w:rsidR="00E436BB" w:rsidRPr="0035735F" w:rsidRDefault="00821F82" w:rsidP="00E436BB">
      <w:pPr>
        <w:numPr>
          <w:ilvl w:val="0"/>
          <w:numId w:val="2"/>
        </w:numPr>
        <w:ind w:left="0" w:firstLine="709"/>
        <w:jc w:val="both"/>
        <w:rPr>
          <w:sz w:val="22"/>
          <w:szCs w:val="22"/>
        </w:rPr>
      </w:pPr>
      <w:r>
        <w:rPr>
          <w:sz w:val="22"/>
          <w:szCs w:val="22"/>
        </w:rPr>
        <w:t>Б</w:t>
      </w:r>
      <w:r w:rsidR="00E436BB" w:rsidRPr="0035735F">
        <w:rPr>
          <w:sz w:val="22"/>
          <w:szCs w:val="22"/>
        </w:rPr>
        <w:t xml:space="preserve">ензин А-95-–  </w:t>
      </w:r>
      <w:r w:rsidR="00C24B2D">
        <w:rPr>
          <w:sz w:val="22"/>
          <w:szCs w:val="22"/>
        </w:rPr>
        <w:t>6</w:t>
      </w:r>
      <w:r w:rsidR="00FF0DC7">
        <w:rPr>
          <w:sz w:val="22"/>
          <w:szCs w:val="22"/>
        </w:rPr>
        <w:t>2</w:t>
      </w:r>
      <w:r w:rsidR="00E436BB" w:rsidRPr="0035735F">
        <w:rPr>
          <w:sz w:val="22"/>
          <w:szCs w:val="22"/>
        </w:rPr>
        <w:t>00 л;</w:t>
      </w:r>
    </w:p>
    <w:p w:rsidR="00E436BB" w:rsidRPr="0035735F" w:rsidRDefault="00E436BB" w:rsidP="00E436BB">
      <w:pPr>
        <w:ind w:firstLine="709"/>
        <w:jc w:val="both"/>
        <w:rPr>
          <w:sz w:val="22"/>
          <w:szCs w:val="22"/>
        </w:rPr>
      </w:pPr>
      <w:r w:rsidRPr="0035735F">
        <w:rPr>
          <w:sz w:val="22"/>
          <w:szCs w:val="22"/>
        </w:rPr>
        <w:t>2. Наявність товару (бензину А-95) на автозаправних</w:t>
      </w:r>
      <w:r>
        <w:rPr>
          <w:sz w:val="22"/>
          <w:szCs w:val="22"/>
        </w:rPr>
        <w:t xml:space="preserve"> станціях цілодобово. </w:t>
      </w:r>
    </w:p>
    <w:p w:rsidR="00E436BB" w:rsidRPr="0035735F" w:rsidRDefault="00E436BB" w:rsidP="00E436BB">
      <w:pPr>
        <w:ind w:firstLine="709"/>
        <w:jc w:val="both"/>
        <w:rPr>
          <w:sz w:val="22"/>
          <w:szCs w:val="22"/>
        </w:rPr>
      </w:pPr>
      <w:r w:rsidRPr="0035735F">
        <w:rPr>
          <w:sz w:val="22"/>
          <w:szCs w:val="22"/>
        </w:rPr>
        <w:t>3. Закупівля</w:t>
      </w:r>
      <w:r>
        <w:rPr>
          <w:sz w:val="22"/>
          <w:szCs w:val="22"/>
        </w:rPr>
        <w:t xml:space="preserve"> товару здійснюється до 31 грудня</w:t>
      </w:r>
      <w:r w:rsidRPr="0035735F">
        <w:rPr>
          <w:sz w:val="22"/>
          <w:szCs w:val="22"/>
        </w:rPr>
        <w:t xml:space="preserve"> 202</w:t>
      </w:r>
      <w:r>
        <w:rPr>
          <w:sz w:val="22"/>
          <w:szCs w:val="22"/>
        </w:rPr>
        <w:t>4</w:t>
      </w:r>
      <w:r w:rsidRPr="0035735F">
        <w:rPr>
          <w:sz w:val="22"/>
          <w:szCs w:val="22"/>
        </w:rPr>
        <w:t xml:space="preserve"> року, згідно заявки Замовника (</w:t>
      </w:r>
      <w:r w:rsidRPr="00FF0DC7">
        <w:rPr>
          <w:b/>
          <w:sz w:val="22"/>
          <w:szCs w:val="22"/>
        </w:rPr>
        <w:t>у вигляді талонів/</w:t>
      </w:r>
      <w:proofErr w:type="spellStart"/>
      <w:r w:rsidRPr="00FF0DC7">
        <w:rPr>
          <w:b/>
          <w:sz w:val="22"/>
          <w:szCs w:val="22"/>
        </w:rPr>
        <w:t>скретч-карт</w:t>
      </w:r>
      <w:proofErr w:type="spellEnd"/>
      <w:r w:rsidRPr="00FF0DC7">
        <w:rPr>
          <w:b/>
          <w:sz w:val="22"/>
          <w:szCs w:val="22"/>
        </w:rPr>
        <w:t>, номіналом 10л</w:t>
      </w:r>
      <w:r w:rsidRPr="0035735F">
        <w:rPr>
          <w:sz w:val="22"/>
          <w:szCs w:val="22"/>
        </w:rPr>
        <w:t>).</w:t>
      </w:r>
    </w:p>
    <w:p w:rsidR="00E436BB" w:rsidRPr="006F1D93" w:rsidRDefault="00E436BB" w:rsidP="00E436BB">
      <w:pPr>
        <w:ind w:firstLine="709"/>
        <w:jc w:val="both"/>
        <w:rPr>
          <w:sz w:val="22"/>
          <w:szCs w:val="22"/>
        </w:rPr>
      </w:pPr>
      <w:r w:rsidRPr="006F1D93">
        <w:rPr>
          <w:sz w:val="22"/>
          <w:szCs w:val="22"/>
        </w:rPr>
        <w:t>4. Місце поставки товарів: цілодобово по талонам/</w:t>
      </w:r>
      <w:proofErr w:type="spellStart"/>
      <w:r w:rsidRPr="006F1D93">
        <w:rPr>
          <w:sz w:val="22"/>
          <w:szCs w:val="22"/>
        </w:rPr>
        <w:t>скретч-карткам</w:t>
      </w:r>
      <w:proofErr w:type="spellEnd"/>
      <w:r w:rsidRPr="006F1D93">
        <w:rPr>
          <w:sz w:val="22"/>
          <w:szCs w:val="22"/>
        </w:rPr>
        <w:t xml:space="preserve"> з АЗС Учасника-Переможця, згідно наданого Учасником-Переможцем переліку АЗС (відповідно до вимог тендерної документації). Паливо відпускається на підставі пред’явлення: талонів /</w:t>
      </w:r>
      <w:proofErr w:type="spellStart"/>
      <w:r w:rsidRPr="006F1D93">
        <w:rPr>
          <w:sz w:val="22"/>
          <w:szCs w:val="22"/>
        </w:rPr>
        <w:t>скретч-карток</w:t>
      </w:r>
      <w:proofErr w:type="spellEnd"/>
      <w:r w:rsidRPr="006F1D93">
        <w:rPr>
          <w:sz w:val="22"/>
          <w:szCs w:val="22"/>
        </w:rPr>
        <w:t xml:space="preserve">  на власних або орендованих АЗС Учасника-Переможця торгів або на АЗС партнерів Учасника-Переможця торгів спеціалізованими технічними засобами (механізмами).</w:t>
      </w:r>
    </w:p>
    <w:p w:rsidR="00AB64EB" w:rsidRPr="00AB64EB" w:rsidRDefault="00AB64EB" w:rsidP="00AB64EB">
      <w:pPr>
        <w:ind w:firstLine="709"/>
        <w:jc w:val="both"/>
        <w:rPr>
          <w:sz w:val="22"/>
          <w:szCs w:val="22"/>
        </w:rPr>
      </w:pPr>
      <w:r>
        <w:rPr>
          <w:sz w:val="22"/>
          <w:szCs w:val="22"/>
        </w:rPr>
        <w:t>5</w:t>
      </w:r>
      <w:r w:rsidRPr="00AB64EB">
        <w:rPr>
          <w:sz w:val="22"/>
          <w:szCs w:val="22"/>
        </w:rPr>
        <w:t>. Постачальник має в наявності не менше 1 (однієї) АЗС</w:t>
      </w:r>
      <w:r>
        <w:rPr>
          <w:sz w:val="22"/>
          <w:szCs w:val="22"/>
        </w:rPr>
        <w:t xml:space="preserve">, які знаходяться на відстані  </w:t>
      </w:r>
      <w:r w:rsidRPr="00AB64EB">
        <w:rPr>
          <w:sz w:val="22"/>
          <w:szCs w:val="22"/>
        </w:rPr>
        <w:t xml:space="preserve"> 5</w:t>
      </w:r>
      <w:r>
        <w:rPr>
          <w:sz w:val="22"/>
          <w:szCs w:val="22"/>
        </w:rPr>
        <w:t xml:space="preserve"> - 10</w:t>
      </w:r>
      <w:r w:rsidRPr="00AB64EB">
        <w:rPr>
          <w:sz w:val="22"/>
          <w:szCs w:val="22"/>
        </w:rPr>
        <w:t xml:space="preserve"> км від місця знаходження  Покупця (Вінницька область Вінницький район </w:t>
      </w:r>
      <w:proofErr w:type="spellStart"/>
      <w:r w:rsidRPr="00AB64EB">
        <w:rPr>
          <w:sz w:val="22"/>
          <w:szCs w:val="22"/>
        </w:rPr>
        <w:t>с</w:t>
      </w:r>
      <w:r>
        <w:rPr>
          <w:sz w:val="22"/>
          <w:szCs w:val="22"/>
        </w:rPr>
        <w:t>мт</w:t>
      </w:r>
      <w:proofErr w:type="spellEnd"/>
      <w:r>
        <w:rPr>
          <w:sz w:val="22"/>
          <w:szCs w:val="22"/>
        </w:rPr>
        <w:t xml:space="preserve"> </w:t>
      </w:r>
      <w:proofErr w:type="spellStart"/>
      <w:r w:rsidR="00E030A9">
        <w:rPr>
          <w:sz w:val="22"/>
          <w:szCs w:val="22"/>
        </w:rPr>
        <w:t>Стрижавка</w:t>
      </w:r>
      <w:proofErr w:type="spellEnd"/>
      <w:r w:rsidRPr="00AB64EB">
        <w:rPr>
          <w:sz w:val="22"/>
          <w:szCs w:val="22"/>
        </w:rPr>
        <w:t xml:space="preserve">, вул. </w:t>
      </w:r>
      <w:r w:rsidR="00E030A9">
        <w:rPr>
          <w:sz w:val="22"/>
          <w:szCs w:val="22"/>
        </w:rPr>
        <w:t>40-річчя Перемоги, 6а</w:t>
      </w:r>
      <w:r w:rsidRPr="00AB64EB">
        <w:rPr>
          <w:sz w:val="22"/>
          <w:szCs w:val="22"/>
        </w:rPr>
        <w:t xml:space="preserve">), а також  сучасну мережу АЗС по Вінницькій області.  Постачальник надає перелік АЗС із зазначенням адреси та контактного телефону. </w:t>
      </w:r>
    </w:p>
    <w:p w:rsidR="00E436BB" w:rsidRPr="006F1D93" w:rsidRDefault="00E436BB" w:rsidP="00E436BB">
      <w:pPr>
        <w:ind w:firstLine="709"/>
        <w:jc w:val="both"/>
        <w:rPr>
          <w:sz w:val="22"/>
          <w:szCs w:val="22"/>
        </w:rPr>
      </w:pPr>
      <w:r w:rsidRPr="006F1D93">
        <w:rPr>
          <w:sz w:val="22"/>
          <w:szCs w:val="22"/>
        </w:rPr>
        <w:t>6. У ціну товару включаються витрати на транспортування, страхування,  сплату митних тарифів, а також всі витрати, податки та інші збори і обов’язкові платежі, що сплачуються або мають бути сплачені.</w:t>
      </w:r>
    </w:p>
    <w:p w:rsidR="00E436BB" w:rsidRPr="006F1D93" w:rsidRDefault="00AB64EB" w:rsidP="00E436BB">
      <w:pPr>
        <w:ind w:firstLine="709"/>
        <w:jc w:val="both"/>
        <w:rPr>
          <w:sz w:val="22"/>
          <w:szCs w:val="22"/>
        </w:rPr>
      </w:pPr>
      <w:r>
        <w:rPr>
          <w:sz w:val="22"/>
          <w:szCs w:val="22"/>
        </w:rPr>
        <w:t>7</w:t>
      </w:r>
      <w:r w:rsidR="00E436BB" w:rsidRPr="006F1D93">
        <w:rPr>
          <w:sz w:val="22"/>
          <w:szCs w:val="22"/>
        </w:rPr>
        <w:t>. Якість бензину А-95 має відповідати державним  стандартам, технічним умовам, вимогам до якості, що діють на території України і пред’являються для даного виду товару (ДСТУ 7687:2015, ДСТУ 7688:2015 та Технічного регламенту № 927 від 01.08.2013 КМУ).</w:t>
      </w:r>
    </w:p>
    <w:p w:rsidR="00E436BB" w:rsidRPr="0035735F" w:rsidRDefault="00E436BB" w:rsidP="00E436BB">
      <w:pPr>
        <w:ind w:firstLine="708"/>
        <w:jc w:val="both"/>
        <w:rPr>
          <w:sz w:val="22"/>
          <w:szCs w:val="22"/>
        </w:rPr>
      </w:pPr>
    </w:p>
    <w:p w:rsidR="00E436BB" w:rsidRPr="0035735F" w:rsidRDefault="00E436BB" w:rsidP="00E436BB">
      <w:pPr>
        <w:jc w:val="center"/>
        <w:rPr>
          <w:b/>
          <w:sz w:val="22"/>
          <w:szCs w:val="22"/>
        </w:rPr>
      </w:pPr>
      <w:r w:rsidRPr="0035735F">
        <w:rPr>
          <w:b/>
          <w:sz w:val="22"/>
          <w:szCs w:val="22"/>
        </w:rPr>
        <w:t>ПЕРЕЛІК ДОКУМЕНТІВ ДЛЯ ПІДТВЕРДЖЕННЯ УМОВ В ЧАСТИНІ ТЕХНІЧНИХ ТА ЯКІСНИХ  ХАРАКТЕРИСТИК  ПРЕДМЕТА ЗАКУПІВЛІ</w:t>
      </w:r>
    </w:p>
    <w:p w:rsidR="00E436BB" w:rsidRPr="000D6DA2" w:rsidRDefault="00E436BB" w:rsidP="00E436BB">
      <w:pPr>
        <w:numPr>
          <w:ilvl w:val="3"/>
          <w:numId w:val="1"/>
        </w:numPr>
        <w:ind w:left="0" w:firstLine="709"/>
        <w:jc w:val="both"/>
        <w:rPr>
          <w:rFonts w:eastAsia="Calibri"/>
          <w:sz w:val="22"/>
          <w:szCs w:val="22"/>
          <w:lang w:eastAsia="en-US"/>
        </w:rPr>
      </w:pPr>
      <w:r w:rsidRPr="000D6DA2">
        <w:rPr>
          <w:sz w:val="22"/>
          <w:szCs w:val="22"/>
        </w:rPr>
        <w:t>Довідку в довільній формі про наявність автозаправних станцій Учасника або партнерів Учасника</w:t>
      </w:r>
      <w:r w:rsidR="00AB64EB">
        <w:rPr>
          <w:sz w:val="22"/>
          <w:szCs w:val="22"/>
        </w:rPr>
        <w:t>,</w:t>
      </w:r>
      <w:r w:rsidRPr="000D6DA2">
        <w:rPr>
          <w:sz w:val="22"/>
          <w:szCs w:val="22"/>
        </w:rPr>
        <w:t xml:space="preserve"> </w:t>
      </w:r>
      <w:r w:rsidR="00AB64EB">
        <w:rPr>
          <w:sz w:val="22"/>
          <w:szCs w:val="22"/>
        </w:rPr>
        <w:t xml:space="preserve">які знаходяться на відстані  </w:t>
      </w:r>
      <w:r w:rsidR="00AB64EB" w:rsidRPr="00AB64EB">
        <w:rPr>
          <w:sz w:val="22"/>
          <w:szCs w:val="22"/>
        </w:rPr>
        <w:t xml:space="preserve"> 5</w:t>
      </w:r>
      <w:r w:rsidR="00AB64EB">
        <w:rPr>
          <w:sz w:val="22"/>
          <w:szCs w:val="22"/>
        </w:rPr>
        <w:t xml:space="preserve"> - 10</w:t>
      </w:r>
      <w:r w:rsidR="00AB64EB" w:rsidRPr="00AB64EB">
        <w:rPr>
          <w:sz w:val="22"/>
          <w:szCs w:val="22"/>
        </w:rPr>
        <w:t xml:space="preserve"> км від місця знаходження  Покупця (Вінницька область Вінницький район </w:t>
      </w:r>
      <w:proofErr w:type="spellStart"/>
      <w:r w:rsidR="00AB64EB" w:rsidRPr="00AB64EB">
        <w:rPr>
          <w:sz w:val="22"/>
          <w:szCs w:val="22"/>
        </w:rPr>
        <w:t>с</w:t>
      </w:r>
      <w:r w:rsidR="00AB64EB">
        <w:rPr>
          <w:sz w:val="22"/>
          <w:szCs w:val="22"/>
        </w:rPr>
        <w:t>мт</w:t>
      </w:r>
      <w:proofErr w:type="spellEnd"/>
      <w:r w:rsidR="00AB64EB">
        <w:rPr>
          <w:sz w:val="22"/>
          <w:szCs w:val="22"/>
        </w:rPr>
        <w:t xml:space="preserve"> </w:t>
      </w:r>
      <w:proofErr w:type="spellStart"/>
      <w:r w:rsidR="00F800E0">
        <w:rPr>
          <w:sz w:val="22"/>
          <w:szCs w:val="22"/>
        </w:rPr>
        <w:t>Стрижавка</w:t>
      </w:r>
      <w:proofErr w:type="spellEnd"/>
      <w:r w:rsidR="00AB64EB" w:rsidRPr="00AB64EB">
        <w:rPr>
          <w:sz w:val="22"/>
          <w:szCs w:val="22"/>
        </w:rPr>
        <w:t xml:space="preserve">, вул. </w:t>
      </w:r>
      <w:r w:rsidR="00F800E0">
        <w:rPr>
          <w:sz w:val="22"/>
          <w:szCs w:val="22"/>
        </w:rPr>
        <w:t>40 річчя Перемоги, 6</w:t>
      </w:r>
      <w:bookmarkStart w:id="0" w:name="_GoBack"/>
      <w:bookmarkEnd w:id="0"/>
      <w:r w:rsidR="00AB64EB">
        <w:rPr>
          <w:sz w:val="22"/>
          <w:szCs w:val="22"/>
        </w:rPr>
        <w:t>а</w:t>
      </w:r>
      <w:r w:rsidR="00AB64EB" w:rsidRPr="00AB64EB">
        <w:rPr>
          <w:sz w:val="22"/>
          <w:szCs w:val="22"/>
        </w:rPr>
        <w:t>), а також  сучасну мережу АЗС по Вінницькій області</w:t>
      </w:r>
      <w:r w:rsidRPr="000D6DA2">
        <w:rPr>
          <w:sz w:val="22"/>
          <w:szCs w:val="22"/>
        </w:rPr>
        <w:t xml:space="preserve">.  </w:t>
      </w:r>
    </w:p>
    <w:p w:rsidR="00E436BB" w:rsidRPr="000D6DA2" w:rsidRDefault="00E436BB" w:rsidP="00E436BB">
      <w:pPr>
        <w:widowControl w:val="0"/>
        <w:numPr>
          <w:ilvl w:val="3"/>
          <w:numId w:val="1"/>
        </w:numPr>
        <w:autoSpaceDE w:val="0"/>
        <w:autoSpaceDN w:val="0"/>
        <w:ind w:left="0" w:firstLine="709"/>
        <w:jc w:val="both"/>
        <w:rPr>
          <w:sz w:val="22"/>
          <w:szCs w:val="22"/>
        </w:rPr>
      </w:pPr>
      <w:r w:rsidRPr="000D6DA2">
        <w:rPr>
          <w:rFonts w:eastAsia="Calibri"/>
          <w:sz w:val="22"/>
          <w:szCs w:val="22"/>
          <w:lang w:eastAsia="en-US"/>
        </w:rPr>
        <w:t>Інформація про відповідність товару технічним вимогам повинна бути підтверджена копіями сертифікатів відповідності та/або копіями паспортів якості на кожне найменування товару, який є предметом закупівлі.</w:t>
      </w:r>
      <w:r w:rsidRPr="000D6DA2">
        <w:rPr>
          <w:rFonts w:ascii="Calibri" w:eastAsia="Calibri" w:hAnsi="Calibri"/>
          <w:sz w:val="22"/>
          <w:szCs w:val="22"/>
          <w:lang w:eastAsia="en-US"/>
        </w:rPr>
        <w:t xml:space="preserve"> </w:t>
      </w:r>
    </w:p>
    <w:p w:rsidR="00E436BB" w:rsidRPr="000D6DA2" w:rsidRDefault="00E436BB" w:rsidP="00E436BB">
      <w:pPr>
        <w:widowControl w:val="0"/>
        <w:numPr>
          <w:ilvl w:val="3"/>
          <w:numId w:val="1"/>
        </w:numPr>
        <w:autoSpaceDE w:val="0"/>
        <w:autoSpaceDN w:val="0"/>
        <w:ind w:left="0" w:firstLine="709"/>
        <w:jc w:val="both"/>
        <w:rPr>
          <w:sz w:val="22"/>
          <w:szCs w:val="22"/>
        </w:rPr>
      </w:pPr>
      <w:r w:rsidRPr="000D6DA2">
        <w:rPr>
          <w:sz w:val="22"/>
          <w:szCs w:val="22"/>
        </w:rPr>
        <w:t xml:space="preserve">У разі якщо Учасник є власником АЗС/АЗК в складі тендерної пропозиції надаються копії документів, якими підтверджується право власності на АЗС/АЗК з гарантійним </w:t>
      </w:r>
      <w:r w:rsidRPr="000D6DA2">
        <w:rPr>
          <w:spacing w:val="-2"/>
          <w:sz w:val="22"/>
          <w:szCs w:val="22"/>
        </w:rPr>
        <w:t xml:space="preserve">листом </w:t>
      </w:r>
      <w:r w:rsidRPr="000D6DA2">
        <w:rPr>
          <w:sz w:val="22"/>
          <w:szCs w:val="22"/>
        </w:rPr>
        <w:t>щодо заправки автотранспорту Замовника протягом дії Договору</w:t>
      </w:r>
      <w:r w:rsidRPr="000D6DA2">
        <w:rPr>
          <w:spacing w:val="-3"/>
          <w:sz w:val="22"/>
          <w:szCs w:val="22"/>
        </w:rPr>
        <w:t>.</w:t>
      </w:r>
    </w:p>
    <w:p w:rsidR="00E436BB" w:rsidRPr="0035735F" w:rsidRDefault="00E436BB" w:rsidP="00E436BB">
      <w:pPr>
        <w:widowControl w:val="0"/>
        <w:tabs>
          <w:tab w:val="left" w:pos="1872"/>
        </w:tabs>
        <w:autoSpaceDE w:val="0"/>
        <w:autoSpaceDN w:val="0"/>
        <w:ind w:firstLine="709"/>
        <w:jc w:val="both"/>
        <w:rPr>
          <w:sz w:val="22"/>
          <w:szCs w:val="22"/>
        </w:rPr>
      </w:pPr>
      <w:r w:rsidRPr="0035735F">
        <w:rPr>
          <w:sz w:val="22"/>
          <w:szCs w:val="22"/>
        </w:rPr>
        <w:t>4.</w:t>
      </w:r>
      <w:r w:rsidRPr="0035735F">
        <w:rPr>
          <w:b/>
          <w:sz w:val="22"/>
          <w:szCs w:val="22"/>
        </w:rPr>
        <w:t xml:space="preserve"> </w:t>
      </w:r>
      <w:r w:rsidRPr="0035735F">
        <w:rPr>
          <w:sz w:val="22"/>
          <w:szCs w:val="22"/>
        </w:rPr>
        <w:t xml:space="preserve">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дії Договору за талонами зразка Учасника. </w:t>
      </w:r>
    </w:p>
    <w:p w:rsidR="00E436BB" w:rsidRPr="0035735F" w:rsidRDefault="00E436BB" w:rsidP="00E436BB">
      <w:pPr>
        <w:tabs>
          <w:tab w:val="left" w:pos="284"/>
        </w:tabs>
        <w:ind w:firstLine="709"/>
        <w:jc w:val="both"/>
        <w:rPr>
          <w:rFonts w:eastAsia="Calibri"/>
          <w:i/>
          <w:sz w:val="22"/>
          <w:szCs w:val="22"/>
          <w:lang w:eastAsia="en-US"/>
        </w:rPr>
      </w:pPr>
      <w:r w:rsidRPr="0035735F">
        <w:rPr>
          <w:rFonts w:eastAsia="Calibri"/>
          <w:sz w:val="22"/>
          <w:szCs w:val="22"/>
          <w:lang w:eastAsia="en-US"/>
        </w:rPr>
        <w:t xml:space="preserve">5.  Для підтвердження спроможності на провадження господарської діяльності, згідно з предметом закупівлі, у складі тендерної пропозиції Учасник надає ліцензії (з усіма наявними </w:t>
      </w:r>
      <w:r w:rsidRPr="0035735F">
        <w:rPr>
          <w:rFonts w:eastAsia="Calibri"/>
          <w:sz w:val="22"/>
          <w:szCs w:val="22"/>
          <w:lang w:eastAsia="en-US"/>
        </w:rPr>
        <w:lastRenderedPageBreak/>
        <w:t xml:space="preserve">додатками) на провадження господарської діяльності, згідно з предметом закупівлі (відповідно до Закону України «Про ліцензування видів господарської </w:t>
      </w:r>
      <w:proofErr w:type="spellStart"/>
      <w:r w:rsidRPr="0035735F">
        <w:rPr>
          <w:rFonts w:eastAsia="Calibri"/>
          <w:sz w:val="22"/>
          <w:szCs w:val="22"/>
          <w:lang w:eastAsia="en-US"/>
        </w:rPr>
        <w:t>діяльності»I</w:t>
      </w:r>
      <w:proofErr w:type="spellEnd"/>
      <w:r w:rsidRPr="0035735F">
        <w:rPr>
          <w:rFonts w:eastAsia="Calibri"/>
          <w:sz w:val="22"/>
          <w:szCs w:val="22"/>
          <w:lang w:eastAsia="en-US"/>
        </w:rPr>
        <w:t>).</w:t>
      </w:r>
    </w:p>
    <w:p w:rsidR="00E436BB" w:rsidRPr="009544DF" w:rsidRDefault="00E436BB" w:rsidP="00E436BB">
      <w:pPr>
        <w:spacing w:line="259" w:lineRule="auto"/>
        <w:ind w:firstLine="709"/>
        <w:jc w:val="both"/>
        <w:rPr>
          <w:sz w:val="22"/>
          <w:szCs w:val="22"/>
          <w:lang w:eastAsia="ar-SA"/>
        </w:rPr>
      </w:pPr>
      <w:r w:rsidRPr="009544DF">
        <w:rPr>
          <w:rFonts w:eastAsia="Calibri"/>
          <w:sz w:val="22"/>
          <w:szCs w:val="22"/>
          <w:lang w:eastAsia="en-US"/>
        </w:rPr>
        <w:tab/>
      </w:r>
    </w:p>
    <w:p w:rsidR="00E436BB" w:rsidRPr="00BC716D" w:rsidRDefault="00E436BB" w:rsidP="00E436BB">
      <w:pPr>
        <w:widowControl w:val="0"/>
        <w:tabs>
          <w:tab w:val="left" w:pos="1080"/>
        </w:tabs>
        <w:jc w:val="both"/>
        <w:rPr>
          <w:b/>
          <w:i/>
          <w:sz w:val="20"/>
          <w:szCs w:val="20"/>
          <w:u w:val="single"/>
        </w:rPr>
      </w:pPr>
      <w:r w:rsidRPr="00BC716D">
        <w:rPr>
          <w:b/>
          <w:i/>
          <w:sz w:val="20"/>
          <w:szCs w:val="20"/>
          <w:u w:val="single"/>
        </w:rPr>
        <w:t>Примітки:</w:t>
      </w:r>
    </w:p>
    <w:p w:rsidR="00E436BB" w:rsidRPr="00BC716D" w:rsidRDefault="00E436BB" w:rsidP="00E436BB">
      <w:pPr>
        <w:widowControl w:val="0"/>
        <w:tabs>
          <w:tab w:val="left" w:pos="1080"/>
        </w:tabs>
        <w:jc w:val="both"/>
        <w:rPr>
          <w:sz w:val="20"/>
          <w:szCs w:val="20"/>
        </w:rPr>
      </w:pPr>
      <w:r w:rsidRPr="00BC716D">
        <w:rPr>
          <w:sz w:val="20"/>
          <w:szCs w:val="20"/>
        </w:rPr>
        <w:t>а) учасники не надають документи, які не передбачені при здійсненні діяльності чинним законодавством;</w:t>
      </w:r>
    </w:p>
    <w:p w:rsidR="00E436BB" w:rsidRPr="00BC716D" w:rsidRDefault="00E436BB" w:rsidP="00E436BB">
      <w:pPr>
        <w:widowControl w:val="0"/>
        <w:tabs>
          <w:tab w:val="left" w:pos="1080"/>
        </w:tabs>
        <w:jc w:val="both"/>
        <w:rPr>
          <w:sz w:val="20"/>
          <w:szCs w:val="20"/>
        </w:rPr>
      </w:pPr>
      <w:r w:rsidRPr="00BC716D">
        <w:rPr>
          <w:sz w:val="20"/>
          <w:szCs w:val="20"/>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E436BB" w:rsidRPr="00BC716D" w:rsidRDefault="00E436BB" w:rsidP="00E436BB">
      <w:pPr>
        <w:widowControl w:val="0"/>
        <w:tabs>
          <w:tab w:val="left" w:pos="1080"/>
        </w:tabs>
        <w:jc w:val="both"/>
        <w:rPr>
          <w:sz w:val="20"/>
          <w:szCs w:val="20"/>
        </w:rPr>
      </w:pPr>
      <w:r w:rsidRPr="00BC716D">
        <w:rPr>
          <w:sz w:val="20"/>
          <w:szCs w:val="20"/>
        </w:rPr>
        <w:t>в) відповідальність за достовірність і зміст довідок, листів-роз’яснень, інформації тощо, складених в довільній формі, несуть Учасники;</w:t>
      </w:r>
    </w:p>
    <w:p w:rsidR="00E436BB" w:rsidRPr="00BC716D" w:rsidRDefault="00E436BB" w:rsidP="00E436BB">
      <w:pPr>
        <w:widowControl w:val="0"/>
        <w:tabs>
          <w:tab w:val="left" w:pos="1080"/>
        </w:tabs>
        <w:jc w:val="both"/>
        <w:rPr>
          <w:sz w:val="20"/>
          <w:szCs w:val="20"/>
        </w:rPr>
      </w:pPr>
      <w:r w:rsidRPr="00BC716D">
        <w:rPr>
          <w:sz w:val="20"/>
          <w:szCs w:val="20"/>
        </w:rPr>
        <w:t>г)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436BB" w:rsidRPr="00BC716D" w:rsidRDefault="00E436BB" w:rsidP="00E436BB">
      <w:pPr>
        <w:widowControl w:val="0"/>
        <w:tabs>
          <w:tab w:val="left" w:pos="1080"/>
        </w:tabs>
        <w:jc w:val="both"/>
        <w:rPr>
          <w:sz w:val="20"/>
          <w:szCs w:val="20"/>
        </w:rPr>
      </w:pPr>
      <w:r w:rsidRPr="00BC716D">
        <w:rPr>
          <w:sz w:val="20"/>
          <w:szCs w:val="20"/>
        </w:rPr>
        <w:t>д)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436BB" w:rsidRPr="00BC716D" w:rsidRDefault="00E436BB" w:rsidP="00E436BB">
      <w:pPr>
        <w:widowControl w:val="0"/>
        <w:tabs>
          <w:tab w:val="left" w:pos="1080"/>
        </w:tabs>
        <w:jc w:val="both"/>
        <w:rPr>
          <w:sz w:val="20"/>
          <w:szCs w:val="20"/>
        </w:rPr>
      </w:pPr>
      <w:r w:rsidRPr="00BC716D">
        <w:rPr>
          <w:sz w:val="20"/>
          <w:szCs w:val="20"/>
        </w:rPr>
        <w:t>е)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rsidR="00E436BB" w:rsidRDefault="00E436BB" w:rsidP="00E436BB">
      <w:pPr>
        <w:widowControl w:val="0"/>
        <w:tabs>
          <w:tab w:val="left" w:pos="1080"/>
        </w:tabs>
        <w:jc w:val="both"/>
        <w:rPr>
          <w:sz w:val="20"/>
          <w:szCs w:val="20"/>
        </w:rPr>
      </w:pPr>
      <w:r w:rsidRPr="00BC716D">
        <w:rPr>
          <w:sz w:val="20"/>
          <w:szCs w:val="20"/>
        </w:rPr>
        <w:t>є)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F51812" w:rsidRDefault="00F51812"/>
    <w:sectPr w:rsidR="00F51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F66BF6"/>
    <w:multiLevelType w:val="hybridMultilevel"/>
    <w:tmpl w:val="455EA7EA"/>
    <w:lvl w:ilvl="0" w:tplc="5158FE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41"/>
    <w:rsid w:val="000D5278"/>
    <w:rsid w:val="002A0AB6"/>
    <w:rsid w:val="00542541"/>
    <w:rsid w:val="00717638"/>
    <w:rsid w:val="00821F82"/>
    <w:rsid w:val="009B03FD"/>
    <w:rsid w:val="00AB64EB"/>
    <w:rsid w:val="00C24B2D"/>
    <w:rsid w:val="00E030A9"/>
    <w:rsid w:val="00E436BB"/>
    <w:rsid w:val="00F51812"/>
    <w:rsid w:val="00F800E0"/>
    <w:rsid w:val="00FF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B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B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123</cp:lastModifiedBy>
  <cp:revision>9</cp:revision>
  <dcterms:created xsi:type="dcterms:W3CDTF">2024-02-02T08:54:00Z</dcterms:created>
  <dcterms:modified xsi:type="dcterms:W3CDTF">2024-02-02T11:53:00Z</dcterms:modified>
</cp:coreProperties>
</file>