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F537D6" w14:paraId="2979FE8E" w14:textId="77777777" w:rsidTr="00FC72A4">
        <w:trPr>
          <w:jc w:val="right"/>
        </w:trPr>
        <w:tc>
          <w:tcPr>
            <w:tcW w:w="5387" w:type="dxa"/>
          </w:tcPr>
          <w:p w14:paraId="372B1C66" w14:textId="77777777" w:rsidR="00FC72A4" w:rsidRPr="00F537D6" w:rsidRDefault="00FC72A4" w:rsidP="00F66C65">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«Затверджено»</w:t>
            </w:r>
          </w:p>
          <w:p w14:paraId="0BED4B9A" w14:textId="5672A30C" w:rsidR="00FC72A4" w:rsidRPr="00F537D6" w:rsidRDefault="00802A04" w:rsidP="005E0227">
            <w:pPr>
              <w:snapToGrid w:val="0"/>
              <w:jc w:val="right"/>
              <w:rPr>
                <w:rFonts w:ascii="Times New Roman" w:hAnsi="Times New Roman" w:cs="Times New Roman"/>
                <w:b/>
                <w:bCs/>
                <w:color w:val="auto"/>
                <w:sz w:val="24"/>
                <w:szCs w:val="24"/>
                <w:lang w:eastAsia="ar-SA"/>
              </w:rPr>
            </w:pPr>
            <w:r w:rsidRPr="00F537D6">
              <w:rPr>
                <w:rFonts w:ascii="Times New Roman" w:hAnsi="Times New Roman" w:cs="Times New Roman"/>
                <w:b/>
                <w:bCs/>
                <w:color w:val="auto"/>
                <w:sz w:val="24"/>
                <w:szCs w:val="24"/>
                <w:lang w:eastAsia="ar-SA"/>
              </w:rPr>
              <w:t xml:space="preserve">рішенням від </w:t>
            </w:r>
            <w:r w:rsidR="005E0227">
              <w:rPr>
                <w:rFonts w:ascii="Times New Roman" w:hAnsi="Times New Roman" w:cs="Times New Roman"/>
                <w:b/>
                <w:bCs/>
                <w:color w:val="auto"/>
                <w:sz w:val="24"/>
                <w:szCs w:val="24"/>
                <w:lang w:eastAsia="ar-SA"/>
              </w:rPr>
              <w:t>04 грудня</w:t>
            </w:r>
            <w:r w:rsidR="00FC72A4" w:rsidRPr="00F537D6">
              <w:rPr>
                <w:rFonts w:ascii="Times New Roman" w:hAnsi="Times New Roman" w:cs="Times New Roman"/>
                <w:b/>
                <w:bCs/>
                <w:color w:val="auto"/>
                <w:sz w:val="24"/>
                <w:szCs w:val="24"/>
                <w:lang w:eastAsia="ar-SA"/>
              </w:rPr>
              <w:t xml:space="preserve"> 202</w:t>
            </w:r>
            <w:r w:rsidR="00B77D00" w:rsidRPr="00F537D6">
              <w:rPr>
                <w:rFonts w:ascii="Times New Roman" w:hAnsi="Times New Roman" w:cs="Times New Roman"/>
                <w:b/>
                <w:bCs/>
                <w:color w:val="auto"/>
                <w:sz w:val="24"/>
                <w:szCs w:val="24"/>
                <w:lang w:eastAsia="ar-SA"/>
              </w:rPr>
              <w:t>3</w:t>
            </w:r>
            <w:r w:rsidR="00FC72A4" w:rsidRPr="00F537D6">
              <w:rPr>
                <w:rFonts w:ascii="Times New Roman" w:hAnsi="Times New Roman" w:cs="Times New Roman"/>
                <w:b/>
                <w:bCs/>
                <w:color w:val="auto"/>
                <w:sz w:val="24"/>
                <w:szCs w:val="24"/>
                <w:lang w:eastAsia="ar-SA"/>
              </w:rPr>
              <w:t xml:space="preserve"> року</w:t>
            </w:r>
            <w:r w:rsidR="00103D45" w:rsidRPr="00F537D6">
              <w:rPr>
                <w:rFonts w:ascii="Times New Roman" w:hAnsi="Times New Roman" w:cs="Times New Roman"/>
                <w:b/>
                <w:bCs/>
                <w:color w:val="auto"/>
                <w:sz w:val="24"/>
                <w:szCs w:val="24"/>
                <w:lang w:eastAsia="ar-SA"/>
              </w:rPr>
              <w:t xml:space="preserve"> №</w:t>
            </w:r>
            <w:r w:rsidR="00AD08CB" w:rsidRPr="00F537D6">
              <w:rPr>
                <w:rFonts w:ascii="Times New Roman" w:hAnsi="Times New Roman" w:cs="Times New Roman"/>
                <w:b/>
                <w:bCs/>
                <w:color w:val="auto"/>
                <w:sz w:val="24"/>
                <w:szCs w:val="24"/>
                <w:lang w:eastAsia="ar-SA"/>
              </w:rPr>
              <w:t xml:space="preserve"> 1</w:t>
            </w:r>
            <w:r w:rsidR="005E0227">
              <w:rPr>
                <w:rFonts w:ascii="Times New Roman" w:hAnsi="Times New Roman" w:cs="Times New Roman"/>
                <w:b/>
                <w:bCs/>
                <w:color w:val="auto"/>
                <w:sz w:val="24"/>
                <w:szCs w:val="24"/>
                <w:lang w:eastAsia="ar-SA"/>
              </w:rPr>
              <w:t>32</w:t>
            </w:r>
            <w:r w:rsidR="00103D45" w:rsidRPr="00F537D6">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75560BA3" w14:textId="77777777" w:rsidR="00784459" w:rsidRPr="00784459" w:rsidRDefault="00784459" w:rsidP="00784459">
      <w:pPr>
        <w:jc w:val="center"/>
        <w:rPr>
          <w:rFonts w:ascii="Times New Roman" w:hAnsi="Times New Roman" w:cs="Times New Roman"/>
          <w:b/>
          <w:sz w:val="50"/>
          <w:szCs w:val="50"/>
          <w:u w:val="single"/>
        </w:rPr>
      </w:pPr>
      <w:r w:rsidRPr="00784459">
        <w:rPr>
          <w:rFonts w:ascii="Times New Roman" w:hAnsi="Times New Roman" w:cs="Times New Roman"/>
          <w:b/>
          <w:sz w:val="50"/>
          <w:szCs w:val="50"/>
          <w:u w:val="single"/>
        </w:rPr>
        <w:t>ДК 021:2015:</w:t>
      </w:r>
      <w:r w:rsidRPr="00784459">
        <w:rPr>
          <w:rFonts w:ascii="Times New Roman" w:hAnsi="Times New Roman" w:cs="Times New Roman"/>
          <w:b/>
          <w:sz w:val="50"/>
          <w:szCs w:val="50"/>
          <w:u w:val="single"/>
          <w:lang w:val="ru-RU"/>
        </w:rPr>
        <w:t xml:space="preserve"> </w:t>
      </w:r>
      <w:r w:rsidRPr="00784459">
        <w:rPr>
          <w:rFonts w:ascii="Times New Roman" w:hAnsi="Times New Roman" w:cs="Times New Roman"/>
          <w:b/>
          <w:sz w:val="50"/>
          <w:szCs w:val="50"/>
          <w:u w:val="single"/>
        </w:rPr>
        <w:t>30210000-4 Машини для обробки даних (апаратна частина)</w:t>
      </w:r>
    </w:p>
    <w:p w14:paraId="0854FFA3" w14:textId="63564B95" w:rsidR="0062346D" w:rsidRPr="009D5396" w:rsidRDefault="00784459" w:rsidP="00784459">
      <w:pPr>
        <w:jc w:val="center"/>
        <w:rPr>
          <w:rFonts w:ascii="Times New Roman" w:hAnsi="Times New Roman"/>
          <w:b/>
          <w:sz w:val="50"/>
          <w:szCs w:val="50"/>
          <w:u w:val="single"/>
        </w:rPr>
      </w:pPr>
      <w:r w:rsidRPr="00784459">
        <w:rPr>
          <w:rFonts w:ascii="Times New Roman" w:hAnsi="Times New Roman" w:cs="Times New Roman"/>
          <w:b/>
          <w:sz w:val="50"/>
          <w:szCs w:val="50"/>
          <w:u w:val="single"/>
        </w:rPr>
        <w:t xml:space="preserve"> </w:t>
      </w:r>
      <w:r w:rsidR="009D5396" w:rsidRPr="009D5396">
        <w:rPr>
          <w:rFonts w:ascii="Times New Roman" w:hAnsi="Times New Roman" w:cs="Times New Roman"/>
          <w:b/>
          <w:sz w:val="50"/>
          <w:szCs w:val="50"/>
          <w:u w:val="single"/>
        </w:rPr>
        <w:t>(</w:t>
      </w:r>
      <w:r w:rsidRPr="00784459">
        <w:rPr>
          <w:rFonts w:ascii="Times New Roman" w:hAnsi="Times New Roman"/>
          <w:b/>
          <w:sz w:val="50"/>
          <w:szCs w:val="50"/>
          <w:u w:val="single"/>
        </w:rPr>
        <w:t xml:space="preserve">Сканер протяжний </w:t>
      </w:r>
      <w:proofErr w:type="spellStart"/>
      <w:r w:rsidRPr="00784459">
        <w:rPr>
          <w:rFonts w:ascii="Times New Roman" w:hAnsi="Times New Roman"/>
          <w:b/>
          <w:sz w:val="50"/>
          <w:szCs w:val="50"/>
          <w:u w:val="single"/>
        </w:rPr>
        <w:t>Epson</w:t>
      </w:r>
      <w:proofErr w:type="spellEnd"/>
      <w:r w:rsidRPr="00784459">
        <w:rPr>
          <w:rFonts w:ascii="Times New Roman" w:hAnsi="Times New Roman"/>
          <w:b/>
          <w:sz w:val="50"/>
          <w:szCs w:val="50"/>
          <w:u w:val="single"/>
        </w:rPr>
        <w:t xml:space="preserve"> </w:t>
      </w:r>
      <w:proofErr w:type="spellStart"/>
      <w:r w:rsidRPr="00784459">
        <w:rPr>
          <w:rFonts w:ascii="Times New Roman" w:hAnsi="Times New Roman"/>
          <w:b/>
          <w:sz w:val="50"/>
          <w:szCs w:val="50"/>
          <w:u w:val="single"/>
        </w:rPr>
        <w:t>WorkForce</w:t>
      </w:r>
      <w:proofErr w:type="spellEnd"/>
      <w:r w:rsidRPr="00784459">
        <w:rPr>
          <w:rFonts w:ascii="Times New Roman" w:hAnsi="Times New Roman"/>
          <w:b/>
          <w:sz w:val="50"/>
          <w:szCs w:val="50"/>
          <w:u w:val="single"/>
        </w:rPr>
        <w:t xml:space="preserve"> DS-410 A4 (або еквівалент); Сканер CZUR </w:t>
      </w:r>
      <w:proofErr w:type="spellStart"/>
      <w:r w:rsidRPr="00784459">
        <w:rPr>
          <w:rFonts w:ascii="Times New Roman" w:hAnsi="Times New Roman"/>
          <w:b/>
          <w:sz w:val="50"/>
          <w:szCs w:val="50"/>
          <w:u w:val="single"/>
        </w:rPr>
        <w:t>Shine</w:t>
      </w:r>
      <w:proofErr w:type="spellEnd"/>
      <w:r w:rsidRPr="00784459">
        <w:rPr>
          <w:rFonts w:ascii="Times New Roman" w:hAnsi="Times New Roman"/>
          <w:b/>
          <w:sz w:val="50"/>
          <w:szCs w:val="50"/>
          <w:u w:val="single"/>
        </w:rPr>
        <w:t xml:space="preserve"> 800 </w:t>
      </w:r>
      <w:proofErr w:type="spellStart"/>
      <w:r w:rsidRPr="00784459">
        <w:rPr>
          <w:rFonts w:ascii="Times New Roman" w:hAnsi="Times New Roman"/>
          <w:b/>
          <w:sz w:val="50"/>
          <w:szCs w:val="50"/>
          <w:u w:val="single"/>
        </w:rPr>
        <w:t>Pro</w:t>
      </w:r>
      <w:proofErr w:type="spellEnd"/>
      <w:r w:rsidRPr="00784459">
        <w:rPr>
          <w:rFonts w:ascii="Times New Roman" w:hAnsi="Times New Roman"/>
          <w:b/>
          <w:sz w:val="50"/>
          <w:szCs w:val="50"/>
          <w:u w:val="single"/>
        </w:rPr>
        <w:t xml:space="preserve"> (або еквівалент)</w:t>
      </w:r>
      <w:r w:rsidR="0062346D">
        <w:rPr>
          <w:rFonts w:ascii="Times New Roman" w:hAnsi="Times New Roman" w:cs="Times New Roman"/>
          <w:b/>
          <w:sz w:val="50"/>
          <w:szCs w:val="50"/>
          <w:u w:val="single"/>
        </w:rPr>
        <w:t>)</w:t>
      </w:r>
    </w:p>
    <w:p w14:paraId="25FBC447" w14:textId="77777777" w:rsidR="000E6650" w:rsidRDefault="000E6650" w:rsidP="009F7288">
      <w:pPr>
        <w:spacing w:line="240" w:lineRule="auto"/>
        <w:ind w:firstLine="539"/>
        <w:jc w:val="center"/>
        <w:rPr>
          <w:b/>
          <w:bCs/>
          <w:sz w:val="50"/>
          <w:szCs w:val="50"/>
          <w:u w:val="single"/>
        </w:rPr>
      </w:pPr>
    </w:p>
    <w:p w14:paraId="1609A78E" w14:textId="77777777" w:rsidR="0035577F" w:rsidRPr="005E0227" w:rsidRDefault="0035577F" w:rsidP="0062346D">
      <w:pPr>
        <w:spacing w:line="240" w:lineRule="auto"/>
        <w:rPr>
          <w:rFonts w:ascii="Times New Roman" w:hAnsi="Times New Roman" w:cs="Times New Roman"/>
          <w:b/>
          <w:color w:val="auto"/>
          <w:sz w:val="40"/>
          <w:szCs w:val="40"/>
          <w:u w:val="single"/>
          <w:lang w:eastAsia="en-US"/>
        </w:rPr>
      </w:pPr>
    </w:p>
    <w:p w14:paraId="009E730B"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59B00D4A"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19F48856" w14:textId="77777777" w:rsidR="00784459" w:rsidRPr="005E0227" w:rsidRDefault="00784459"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360E3C">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Borders>
              <w:bottom w:val="single" w:sz="4" w:space="0" w:color="auto"/>
            </w:tcBorders>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710F00B7" w:rsidR="00EC5387" w:rsidRPr="00C27B83" w:rsidRDefault="00784459" w:rsidP="00784459">
            <w:pPr>
              <w:jc w:val="both"/>
              <w:rPr>
                <w:rFonts w:ascii="Times New Roman" w:hAnsi="Times New Roman" w:cs="Times New Roman"/>
                <w:sz w:val="24"/>
                <w:szCs w:val="24"/>
              </w:rPr>
            </w:pPr>
            <w:r w:rsidRPr="00784459">
              <w:rPr>
                <w:rFonts w:ascii="Times New Roman" w:hAnsi="Times New Roman" w:cs="Times New Roman"/>
                <w:sz w:val="24"/>
                <w:szCs w:val="24"/>
              </w:rPr>
              <w:t xml:space="preserve">ДК 021:2015: 30210000-4 Машини для обробки даних (апаратна частина) (Сканер протяжний </w:t>
            </w:r>
            <w:proofErr w:type="spellStart"/>
            <w:r w:rsidRPr="00784459">
              <w:rPr>
                <w:rFonts w:ascii="Times New Roman" w:hAnsi="Times New Roman" w:cs="Times New Roman"/>
                <w:sz w:val="24"/>
                <w:szCs w:val="24"/>
              </w:rPr>
              <w:t>Epson</w:t>
            </w:r>
            <w:proofErr w:type="spellEnd"/>
            <w:r w:rsidRPr="00784459">
              <w:rPr>
                <w:rFonts w:ascii="Times New Roman" w:hAnsi="Times New Roman" w:cs="Times New Roman"/>
                <w:sz w:val="24"/>
                <w:szCs w:val="24"/>
              </w:rPr>
              <w:t xml:space="preserve"> </w:t>
            </w:r>
            <w:proofErr w:type="spellStart"/>
            <w:r w:rsidRPr="00784459">
              <w:rPr>
                <w:rFonts w:ascii="Times New Roman" w:hAnsi="Times New Roman" w:cs="Times New Roman"/>
                <w:sz w:val="24"/>
                <w:szCs w:val="24"/>
              </w:rPr>
              <w:t>WorkForce</w:t>
            </w:r>
            <w:proofErr w:type="spellEnd"/>
            <w:r w:rsidRPr="00784459">
              <w:rPr>
                <w:rFonts w:ascii="Times New Roman" w:hAnsi="Times New Roman" w:cs="Times New Roman"/>
                <w:sz w:val="24"/>
                <w:szCs w:val="24"/>
              </w:rPr>
              <w:t xml:space="preserve"> DS-410 A4 (або еквівалент); Сканер CZUR </w:t>
            </w:r>
            <w:proofErr w:type="spellStart"/>
            <w:r w:rsidRPr="00784459">
              <w:rPr>
                <w:rFonts w:ascii="Times New Roman" w:hAnsi="Times New Roman" w:cs="Times New Roman"/>
                <w:sz w:val="24"/>
                <w:szCs w:val="24"/>
              </w:rPr>
              <w:t>Shine</w:t>
            </w:r>
            <w:proofErr w:type="spellEnd"/>
            <w:r w:rsidRPr="00784459">
              <w:rPr>
                <w:rFonts w:ascii="Times New Roman" w:hAnsi="Times New Roman" w:cs="Times New Roman"/>
                <w:sz w:val="24"/>
                <w:szCs w:val="24"/>
              </w:rPr>
              <w:t xml:space="preserve"> 800 </w:t>
            </w:r>
            <w:proofErr w:type="spellStart"/>
            <w:r w:rsidRPr="00784459">
              <w:rPr>
                <w:rFonts w:ascii="Times New Roman" w:hAnsi="Times New Roman" w:cs="Times New Roman"/>
                <w:sz w:val="24"/>
                <w:szCs w:val="24"/>
              </w:rPr>
              <w:t>Pro</w:t>
            </w:r>
            <w:proofErr w:type="spellEnd"/>
            <w:r w:rsidRPr="00784459">
              <w:rPr>
                <w:rFonts w:ascii="Times New Roman" w:hAnsi="Times New Roman" w:cs="Times New Roman"/>
                <w:sz w:val="24"/>
                <w:szCs w:val="24"/>
              </w:rPr>
              <w:t xml:space="preserve"> (або еквівалент))</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771636F7" w14:textId="7E8A3C0C"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50660A2A" w14:textId="77777777" w:rsidR="00FD6B09" w:rsidRDefault="00620FEB" w:rsidP="00784459">
            <w:pPr>
              <w:spacing w:line="240" w:lineRule="auto"/>
              <w:ind w:firstLine="601"/>
              <w:jc w:val="both"/>
              <w:rPr>
                <w:rFonts w:ascii="Times New Roman" w:hAnsi="Times New Roman" w:cs="Times New Roman"/>
                <w:b/>
                <w:color w:val="auto"/>
                <w:sz w:val="24"/>
                <w:szCs w:val="24"/>
                <w:lang w:val="ru-RU"/>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167"/>
              <w:gridCol w:w="1276"/>
              <w:gridCol w:w="909"/>
              <w:gridCol w:w="790"/>
            </w:tblGrid>
            <w:tr w:rsidR="00784459" w:rsidRPr="00784459" w14:paraId="760A5414" w14:textId="77777777" w:rsidTr="00784459">
              <w:trPr>
                <w:trHeight w:val="718"/>
                <w:jc w:val="center"/>
              </w:trPr>
              <w:tc>
                <w:tcPr>
                  <w:tcW w:w="562" w:type="dxa"/>
                  <w:vAlign w:val="center"/>
                </w:tcPr>
                <w:p w14:paraId="621B8CD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w:t>
                  </w:r>
                </w:p>
                <w:p w14:paraId="55F8188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п/п</w:t>
                  </w:r>
                </w:p>
              </w:tc>
              <w:tc>
                <w:tcPr>
                  <w:tcW w:w="2167" w:type="dxa"/>
                  <w:vAlign w:val="center"/>
                </w:tcPr>
                <w:p w14:paraId="29D20B3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Найменування товару</w:t>
                  </w:r>
                </w:p>
              </w:tc>
              <w:tc>
                <w:tcPr>
                  <w:tcW w:w="1276" w:type="dxa"/>
                  <w:vAlign w:val="center"/>
                </w:tcPr>
                <w:p w14:paraId="7A05602C"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ДК 021:2015</w:t>
                  </w:r>
                </w:p>
              </w:tc>
              <w:tc>
                <w:tcPr>
                  <w:tcW w:w="909" w:type="dxa"/>
                  <w:vAlign w:val="center"/>
                </w:tcPr>
                <w:p w14:paraId="3B47695A"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 виміру</w:t>
                  </w:r>
                </w:p>
              </w:tc>
              <w:tc>
                <w:tcPr>
                  <w:tcW w:w="790" w:type="dxa"/>
                  <w:vAlign w:val="center"/>
                </w:tcPr>
                <w:p w14:paraId="3DA174CB"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Кількість</w:t>
                  </w:r>
                </w:p>
              </w:tc>
            </w:tr>
            <w:tr w:rsidR="00784459" w:rsidRPr="00784459" w14:paraId="15ECA2F0" w14:textId="77777777" w:rsidTr="00784459">
              <w:trPr>
                <w:trHeight w:val="492"/>
                <w:jc w:val="center"/>
              </w:trPr>
              <w:tc>
                <w:tcPr>
                  <w:tcW w:w="562" w:type="dxa"/>
                  <w:vAlign w:val="center"/>
                </w:tcPr>
                <w:p w14:paraId="0548764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w:t>
                  </w:r>
                </w:p>
              </w:tc>
              <w:tc>
                <w:tcPr>
                  <w:tcW w:w="2167" w:type="dxa"/>
                  <w:shd w:val="clear" w:color="auto" w:fill="auto"/>
                </w:tcPr>
                <w:p w14:paraId="47EE7B1A"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протяжний </w:t>
                  </w:r>
                  <w:proofErr w:type="spellStart"/>
                  <w:r w:rsidRPr="00784459">
                    <w:rPr>
                      <w:rFonts w:ascii="Times New Roman" w:hAnsi="Times New Roman" w:cs="Times New Roman"/>
                      <w:sz w:val="18"/>
                      <w:szCs w:val="18"/>
                    </w:rPr>
                    <w:t>Epson</w:t>
                  </w:r>
                  <w:proofErr w:type="spellEnd"/>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WorkForce</w:t>
                  </w:r>
                  <w:proofErr w:type="spellEnd"/>
                  <w:r w:rsidRPr="00784459">
                    <w:rPr>
                      <w:rFonts w:ascii="Times New Roman" w:hAnsi="Times New Roman" w:cs="Times New Roman"/>
                      <w:sz w:val="18"/>
                      <w:szCs w:val="18"/>
                    </w:rPr>
                    <w:t xml:space="preserve"> DS-410 A4 (або еквівалент)</w:t>
                  </w:r>
                </w:p>
              </w:tc>
              <w:tc>
                <w:tcPr>
                  <w:tcW w:w="1276" w:type="dxa"/>
                </w:tcPr>
                <w:p w14:paraId="22F57135"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30216110-0 — Комп’ютерні сканери</w:t>
                  </w:r>
                </w:p>
              </w:tc>
              <w:tc>
                <w:tcPr>
                  <w:tcW w:w="909" w:type="dxa"/>
                  <w:vAlign w:val="center"/>
                </w:tcPr>
                <w:p w14:paraId="3D04D32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одиниць</w:t>
                  </w:r>
                </w:p>
              </w:tc>
              <w:tc>
                <w:tcPr>
                  <w:tcW w:w="790" w:type="dxa"/>
                  <w:vAlign w:val="center"/>
                </w:tcPr>
                <w:p w14:paraId="7D252AEC"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4</w:t>
                  </w:r>
                </w:p>
              </w:tc>
            </w:tr>
            <w:tr w:rsidR="00784459" w:rsidRPr="00784459" w14:paraId="5B7C59A8" w14:textId="77777777" w:rsidTr="00784459">
              <w:trPr>
                <w:trHeight w:val="255"/>
                <w:jc w:val="center"/>
              </w:trPr>
              <w:tc>
                <w:tcPr>
                  <w:tcW w:w="562" w:type="dxa"/>
                  <w:noWrap/>
                </w:tcPr>
                <w:p w14:paraId="323386C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2</w:t>
                  </w:r>
                </w:p>
              </w:tc>
              <w:tc>
                <w:tcPr>
                  <w:tcW w:w="2167" w:type="dxa"/>
                  <w:shd w:val="clear" w:color="auto" w:fill="auto"/>
                  <w:noWrap/>
                </w:tcPr>
                <w:p w14:paraId="7DC5BBCE"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w:t>
                  </w:r>
                  <w:r w:rsidRPr="00784459">
                    <w:rPr>
                      <w:rFonts w:ascii="Times New Roman" w:hAnsi="Times New Roman" w:cs="Times New Roman"/>
                      <w:sz w:val="18"/>
                      <w:szCs w:val="18"/>
                      <w:lang w:val="en-US"/>
                    </w:rPr>
                    <w:t>CZUR</w:t>
                  </w:r>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Shine</w:t>
                  </w:r>
                  <w:proofErr w:type="spellEnd"/>
                  <w:r w:rsidRPr="00784459">
                    <w:rPr>
                      <w:rFonts w:ascii="Times New Roman" w:hAnsi="Times New Roman" w:cs="Times New Roman"/>
                      <w:sz w:val="18"/>
                      <w:szCs w:val="18"/>
                    </w:rPr>
                    <w:t xml:space="preserve"> 800 </w:t>
                  </w:r>
                  <w:proofErr w:type="spellStart"/>
                  <w:r w:rsidRPr="00784459">
                    <w:rPr>
                      <w:rFonts w:ascii="Times New Roman" w:hAnsi="Times New Roman" w:cs="Times New Roman"/>
                      <w:sz w:val="18"/>
                      <w:szCs w:val="18"/>
                    </w:rPr>
                    <w:t>Pro</w:t>
                  </w:r>
                  <w:proofErr w:type="spellEnd"/>
                  <w:r w:rsidRPr="00784459">
                    <w:rPr>
                      <w:rFonts w:ascii="Times New Roman" w:hAnsi="Times New Roman" w:cs="Times New Roman"/>
                      <w:sz w:val="18"/>
                      <w:szCs w:val="18"/>
                    </w:rPr>
                    <w:t xml:space="preserve"> (або еквівалент)</w:t>
                  </w:r>
                </w:p>
              </w:tc>
              <w:tc>
                <w:tcPr>
                  <w:tcW w:w="1276" w:type="dxa"/>
                </w:tcPr>
                <w:p w14:paraId="25C2CD4A"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30216110-0 — Комп’ютерні сканери</w:t>
                  </w:r>
                </w:p>
              </w:tc>
              <w:tc>
                <w:tcPr>
                  <w:tcW w:w="909" w:type="dxa"/>
                  <w:noWrap/>
                  <w:vAlign w:val="center"/>
                </w:tcPr>
                <w:p w14:paraId="3D4A68AC"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одиниць</w:t>
                  </w:r>
                </w:p>
              </w:tc>
              <w:tc>
                <w:tcPr>
                  <w:tcW w:w="790" w:type="dxa"/>
                  <w:noWrap/>
                  <w:vAlign w:val="center"/>
                </w:tcPr>
                <w:p w14:paraId="6A9E71B0"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15</w:t>
                  </w:r>
                </w:p>
              </w:tc>
            </w:tr>
          </w:tbl>
          <w:p w14:paraId="2AFB9067" w14:textId="679B6B08" w:rsidR="00784459" w:rsidRPr="00784459" w:rsidRDefault="00784459" w:rsidP="00784459">
            <w:pPr>
              <w:spacing w:line="240" w:lineRule="auto"/>
              <w:ind w:firstLine="601"/>
              <w:jc w:val="both"/>
              <w:rPr>
                <w:rFonts w:ascii="Times New Roman" w:hAnsi="Times New Roman" w:cs="Times New Roman"/>
                <w:b/>
                <w:color w:val="auto"/>
                <w:sz w:val="24"/>
                <w:szCs w:val="24"/>
                <w:lang w:val="ru-RU"/>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680AB551" w14:textId="4C5A6185" w:rsidR="009D5396" w:rsidRPr="009D5396" w:rsidRDefault="009D5396" w:rsidP="009D5396">
            <w:pPr>
              <w:spacing w:line="240" w:lineRule="auto"/>
              <w:ind w:firstLine="601"/>
              <w:jc w:val="both"/>
              <w:rPr>
                <w:rFonts w:ascii="Times New Roman" w:hAnsi="Times New Roman" w:cs="Times New Roman"/>
                <w:b/>
                <w:bCs/>
                <w:sz w:val="24"/>
                <w:szCs w:val="24"/>
              </w:rPr>
            </w:pPr>
            <w:r w:rsidRPr="009D5396">
              <w:rPr>
                <w:rFonts w:ascii="Times New Roman" w:hAnsi="Times New Roman" w:cs="Times New Roman"/>
                <w:bCs/>
                <w:sz w:val="24"/>
                <w:szCs w:val="24"/>
              </w:rPr>
              <w:t>протягом 5 (п’яти) робочих днів з дати отримання заявки від Покупця, до 31.12.2023</w:t>
            </w:r>
            <w:r>
              <w:rPr>
                <w:rFonts w:ascii="Times New Roman" w:hAnsi="Times New Roman" w:cs="Times New Roman"/>
                <w:bCs/>
                <w:sz w:val="24"/>
                <w:szCs w:val="24"/>
              </w:rPr>
              <w:t>р</w:t>
            </w:r>
            <w:r w:rsidRPr="009D5396">
              <w:rPr>
                <w:rFonts w:ascii="Times New Roman" w:hAnsi="Times New Roman" w:cs="Times New Roman"/>
                <w:bCs/>
                <w:sz w:val="24"/>
                <w:szCs w:val="24"/>
              </w:rPr>
              <w:t>.</w:t>
            </w:r>
          </w:p>
          <w:p w14:paraId="2515B8D7" w14:textId="0A2FD4FD" w:rsidR="000446E7" w:rsidRPr="009877D4" w:rsidRDefault="000446E7" w:rsidP="00DE6350">
            <w:pPr>
              <w:spacing w:line="240" w:lineRule="auto"/>
              <w:ind w:firstLine="601"/>
              <w:jc w:val="both"/>
              <w:rPr>
                <w:rFonts w:ascii="Times New Roman" w:hAnsi="Times New Roman" w:cs="Times New Roman"/>
                <w:sz w:val="24"/>
                <w:szCs w:val="24"/>
              </w:rPr>
            </w:pP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w:t>
            </w:r>
            <w:r w:rsidRPr="00F66C65">
              <w:rPr>
                <w:lang w:val="uk-UA"/>
              </w:rPr>
              <w:lastRenderedPageBreak/>
              <w:t>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 xml:space="preserve">Формула (механізм, спосіб) зазначеного </w:t>
            </w:r>
            <w:r w:rsidRPr="00DE0837">
              <w:rPr>
                <w:lang w:val="uk-UA"/>
              </w:rPr>
              <w:lastRenderedPageBreak/>
              <w:t>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закупівель.</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8821E4" w:rsidRPr="008821E4">
              <w:rPr>
                <w:lang w:val="uk-UA"/>
              </w:rPr>
              <w:lastRenderedPageBreak/>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lastRenderedPageBreak/>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w:t>
            </w:r>
            <w:r w:rsidRPr="00DE0837">
              <w:rPr>
                <w:rFonts w:ascii="Times New Roman" w:hAnsi="Times New Roman" w:cs="Times New Roman"/>
                <w:color w:val="auto"/>
                <w:sz w:val="24"/>
                <w:szCs w:val="24"/>
              </w:rPr>
              <w:lastRenderedPageBreak/>
              <w:t>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 xml:space="preserve">1.6. Документи, що не передбачені законодавством </w:t>
            </w:r>
            <w:r w:rsidRPr="00DE0837">
              <w:rPr>
                <w:lang w:val="uk-UA"/>
              </w:rPr>
              <w:lastRenderedPageBreak/>
              <w:t>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DE0837">
              <w:rPr>
                <w:rFonts w:ascii="Times New Roman" w:hAnsi="Times New Roman" w:cs="Times New Roman"/>
                <w:sz w:val="24"/>
                <w:szCs w:val="24"/>
              </w:rPr>
              <w:lastRenderedPageBreak/>
              <w:t>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6" w:name="n1473"/>
            <w:bookmarkEnd w:id="6"/>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xml:space="preserve">- погодитися з вимогою та продовжити строк дії поданої ним тендерної пропозиції і наданого забезпечення </w:t>
            </w:r>
            <w:r w:rsidR="004B0D9F" w:rsidRPr="00154F19">
              <w:lastRenderedPageBreak/>
              <w:t>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w:t>
            </w:r>
            <w:r w:rsidR="00601110">
              <w:rPr>
                <w:lang w:val="uk-UA"/>
              </w:rPr>
              <w:lastRenderedPageBreak/>
              <w:t>Особливостей</w:t>
            </w:r>
            <w:r w:rsidRPr="002E411A">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7" w:name="n399"/>
            <w:bookmarkEnd w:id="7"/>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3A76D0">
              <w:rPr>
                <w:rFonts w:ascii="Times New Roman" w:hAnsi="Times New Roman" w:cs="Times New Roman"/>
                <w:color w:val="000000" w:themeColor="text1"/>
                <w:sz w:val="24"/>
                <w:szCs w:val="24"/>
                <w:lang w:eastAsia="uk-UA"/>
              </w:rPr>
              <w:lastRenderedPageBreak/>
              <w:t>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w:t>
            </w:r>
            <w:r w:rsidRPr="00334579">
              <w:rPr>
                <w:rFonts w:ascii="Times New Roman" w:hAnsi="Times New Roman" w:cs="Times New Roman"/>
                <w:i/>
                <w:color w:val="000000" w:themeColor="text1"/>
                <w:sz w:val="24"/>
                <w:szCs w:val="24"/>
                <w:lang w:eastAsia="uk-UA"/>
              </w:rPr>
              <w:lastRenderedPageBreak/>
              <w:t xml:space="preserve">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8" w:name="n1278"/>
            <w:bookmarkEnd w:id="8"/>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w:t>
            </w:r>
            <w:r w:rsidRPr="002B4A8D">
              <w:rPr>
                <w:lang w:val="uk-UA"/>
              </w:rPr>
              <w:lastRenderedPageBreak/>
              <w:t xml:space="preserve">кваліфікаційних критеріїв, наявність підстав, визначених пунктом 47 </w:t>
            </w:r>
            <w:r>
              <w:rPr>
                <w:lang w:val="uk-UA"/>
              </w:rPr>
              <w:t>О</w:t>
            </w:r>
            <w:r w:rsidRPr="002B4A8D">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6223F56A"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5E0227" w:rsidRPr="005E0227">
              <w:rPr>
                <w:rFonts w:ascii="Times New Roman" w:hAnsi="Times New Roman" w:cs="Times New Roman"/>
                <w:b/>
                <w:color w:val="auto"/>
                <w:sz w:val="24"/>
                <w:szCs w:val="24"/>
              </w:rPr>
              <w:t>12</w:t>
            </w:r>
            <w:r w:rsidR="00801DDE" w:rsidRPr="005E0227">
              <w:rPr>
                <w:rFonts w:ascii="Times New Roman" w:hAnsi="Times New Roman" w:cs="Times New Roman"/>
                <w:b/>
                <w:color w:val="auto"/>
                <w:sz w:val="24"/>
                <w:szCs w:val="24"/>
              </w:rPr>
              <w:t>.12</w:t>
            </w:r>
            <w:r w:rsidR="00B31097" w:rsidRPr="005E0227">
              <w:rPr>
                <w:rFonts w:ascii="Times New Roman" w:hAnsi="Times New Roman" w:cs="Times New Roman"/>
                <w:b/>
                <w:color w:val="auto"/>
                <w:sz w:val="24"/>
                <w:szCs w:val="24"/>
              </w:rPr>
              <w:t>.</w:t>
            </w:r>
            <w:r w:rsidR="00103D45" w:rsidRPr="005E0227">
              <w:rPr>
                <w:rFonts w:ascii="Times New Roman" w:hAnsi="Times New Roman" w:cs="Times New Roman"/>
                <w:b/>
                <w:color w:val="auto"/>
                <w:sz w:val="24"/>
                <w:szCs w:val="24"/>
              </w:rPr>
              <w:t>2023 до 12-00</w:t>
            </w:r>
            <w:r w:rsidR="00E00F9E" w:rsidRPr="005E0227">
              <w:rPr>
                <w:rFonts w:ascii="Times New Roman" w:hAnsi="Times New Roman" w:cs="Times New Roman"/>
                <w:color w:val="auto"/>
                <w:sz w:val="24"/>
                <w:szCs w:val="24"/>
              </w:rPr>
              <w:t>.</w:t>
            </w:r>
          </w:p>
          <w:p w14:paraId="446B5F1A" w14:textId="59190B70"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 xml:space="preserve">Розмір мінімального кроку пониження ціни під час електронного </w:t>
            </w:r>
            <w:r w:rsidRPr="00FF0050">
              <w:rPr>
                <w:rFonts w:ascii="Times New Roman" w:hAnsi="Times New Roman" w:cs="Times New Roman"/>
                <w:color w:val="auto"/>
                <w:sz w:val="24"/>
                <w:szCs w:val="24"/>
              </w:rPr>
              <w:t>аукціону складає – 0,5 відсотка ві</w:t>
            </w:r>
            <w:r w:rsidR="00D276B8" w:rsidRPr="00FF0050">
              <w:rPr>
                <w:rFonts w:ascii="Times New Roman" w:hAnsi="Times New Roman" w:cs="Times New Roman"/>
                <w:color w:val="auto"/>
                <w:sz w:val="24"/>
                <w:szCs w:val="24"/>
              </w:rPr>
              <w:t xml:space="preserve">д очікуваної вартості закупівлі </w:t>
            </w:r>
            <w:r w:rsidR="00D276B8" w:rsidRPr="005E0227">
              <w:rPr>
                <w:rFonts w:ascii="Times New Roman" w:hAnsi="Times New Roman" w:cs="Times New Roman"/>
                <w:color w:val="auto"/>
                <w:sz w:val="24"/>
                <w:szCs w:val="24"/>
              </w:rPr>
              <w:t xml:space="preserve">– </w:t>
            </w:r>
            <w:r w:rsidR="005E0227" w:rsidRPr="005E0227">
              <w:rPr>
                <w:rFonts w:ascii="Times New Roman" w:hAnsi="Times New Roman" w:cs="Times New Roman"/>
                <w:b/>
                <w:color w:val="auto"/>
                <w:sz w:val="24"/>
                <w:szCs w:val="24"/>
              </w:rPr>
              <w:t>1 418,</w:t>
            </w:r>
            <w:r w:rsidR="005E0227">
              <w:rPr>
                <w:rFonts w:ascii="Times New Roman" w:hAnsi="Times New Roman" w:cs="Times New Roman"/>
                <w:b/>
                <w:color w:val="auto"/>
                <w:sz w:val="24"/>
                <w:szCs w:val="24"/>
              </w:rPr>
              <w:t>5</w:t>
            </w:r>
            <w:bookmarkStart w:id="9" w:name="_GoBack"/>
            <w:bookmarkEnd w:id="9"/>
            <w:r w:rsidR="005E0227" w:rsidRPr="005E0227">
              <w:rPr>
                <w:rFonts w:ascii="Times New Roman" w:hAnsi="Times New Roman" w:cs="Times New Roman"/>
                <w:b/>
                <w:color w:val="auto"/>
                <w:sz w:val="24"/>
                <w:szCs w:val="24"/>
              </w:rPr>
              <w:t>0</w:t>
            </w:r>
            <w:r w:rsidR="00D276B8" w:rsidRPr="005E0227">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0" w:name="n1465"/>
            <w:bookmarkEnd w:id="10"/>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Отримана тендерна пропозиція/пропозиція вноситься автоматично до реєстру отриманих тендерних </w:t>
            </w:r>
            <w:r w:rsidRPr="00DE0837">
              <w:rPr>
                <w:rFonts w:ascii="Times New Roman" w:hAnsi="Times New Roman" w:cs="Times New Roman"/>
                <w:color w:val="auto"/>
                <w:sz w:val="24"/>
                <w:szCs w:val="24"/>
                <w:lang w:val="uk-UA"/>
              </w:rPr>
              <w:lastRenderedPageBreak/>
              <w:t>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1" w:name="n293"/>
            <w:bookmarkEnd w:id="11"/>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 xml:space="preserve">7) інформацію та документи, що підтверджують відповідність учасника кваліфікаційним критеріям/умовам, визначеним в оголошенні про </w:t>
            </w:r>
            <w:r w:rsidRPr="00511A4E">
              <w:rPr>
                <w:color w:val="000000" w:themeColor="text1"/>
              </w:rPr>
              <w:lastRenderedPageBreak/>
              <w:t>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8) інформацію щодо ціни тендерної пропозиції/пропозиції до початку аукціону та після закінчення аукціону.</w:t>
            </w:r>
            <w:bookmarkStart w:id="12" w:name="n300"/>
            <w:bookmarkEnd w:id="12"/>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3" w:name="n302"/>
            <w:bookmarkEnd w:id="13"/>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4" w:name="n303"/>
            <w:bookmarkEnd w:id="14"/>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4"/>
            <w:bookmarkEnd w:id="15"/>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5"/>
            <w:bookmarkEnd w:id="16"/>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7"/>
            <w:bookmarkEnd w:id="17"/>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8"/>
            <w:bookmarkEnd w:id="18"/>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9"/>
            <w:bookmarkEnd w:id="19"/>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0" w:name="n310"/>
            <w:bookmarkEnd w:id="20"/>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lastRenderedPageBreak/>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lastRenderedPageBreak/>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w:t>
            </w:r>
            <w:r w:rsidRPr="000E0A3A">
              <w:rPr>
                <w:lang w:val="uk-UA"/>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1" w:name="n1551"/>
            <w:bookmarkEnd w:id="21"/>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2" w:name="h.3rdcrjn" w:colFirst="0" w:colLast="0"/>
            <w:bookmarkEnd w:id="22"/>
            <w:r w:rsidRPr="00DE0837">
              <w:rPr>
                <w:lang w:val="uk-UA"/>
              </w:rPr>
              <w:t xml:space="preserve">3.1. </w:t>
            </w:r>
            <w:r w:rsidR="000E56F9" w:rsidRPr="000E56F9">
              <w:rPr>
                <w:lang w:val="uk-UA"/>
              </w:rPr>
              <w:t>Замовник відхиляє тендерну пропозицію із зазначенням аргументації в електронній системі закупівель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A5DC08" w14:textId="77777777" w:rsidR="000E56F9" w:rsidRDefault="000E56F9" w:rsidP="000E56F9">
            <w:pPr>
              <w:pStyle w:val="a7"/>
              <w:spacing w:before="0" w:after="0"/>
              <w:ind w:firstLine="601"/>
              <w:jc w:val="both"/>
              <w:rPr>
                <w:lang w:val="uk-UA"/>
              </w:rPr>
            </w:pPr>
            <w:r>
              <w:rPr>
                <w:lang w:val="uk-UA"/>
              </w:rPr>
              <w:lastRenderedPageBreak/>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w:t>
            </w:r>
            <w:r w:rsidRPr="000E56F9">
              <w:rPr>
                <w:lang w:val="uk-UA"/>
              </w:rPr>
              <w:lastRenderedPageBreak/>
              <w:t>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відповідає вимогам, установленим у тендерній документації відповідно до абзацу першого частини 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Замовник може відхилити тендерну пропозицію із зазначенням аргументації в електронній системі закупівель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632631">
              <w:rPr>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23" w:name="n1478"/>
            <w:bookmarkEnd w:id="23"/>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4" w:name="h.z337ya" w:colFirst="0" w:colLast="0"/>
            <w:bookmarkEnd w:id="24"/>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Відкриті торги автоматично відміняються електронною системою закупівель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Електронною системою закупівель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w:t>
            </w:r>
            <w:r w:rsidR="00735849" w:rsidRPr="00D730E7">
              <w:rPr>
                <w:color w:val="000000" w:themeColor="text1"/>
              </w:rPr>
              <w:lastRenderedPageBreak/>
              <w:t>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B5CA672" w14:textId="77777777" w:rsidR="008302B7" w:rsidRPr="008302B7" w:rsidRDefault="008302B7" w:rsidP="008302B7">
            <w:pPr>
              <w:pStyle w:val="rvps2"/>
              <w:shd w:val="clear" w:color="auto" w:fill="FFFFFF"/>
              <w:spacing w:before="0" w:beforeAutospacing="0" w:after="0" w:afterAutospacing="0"/>
              <w:ind w:firstLine="450"/>
              <w:jc w:val="both"/>
            </w:pPr>
            <w:r w:rsidRPr="008302B7">
              <w:t>1) зменшення обсягів закупівлі, зокрема з урахуванням фактичного обсягу видатків замовника;</w:t>
            </w:r>
          </w:p>
          <w:p w14:paraId="6C6A292B" w14:textId="77777777" w:rsidR="008302B7" w:rsidRPr="008302B7" w:rsidRDefault="008302B7" w:rsidP="008302B7">
            <w:pPr>
              <w:pStyle w:val="rvps2"/>
              <w:shd w:val="clear" w:color="auto" w:fill="FFFFFF"/>
              <w:spacing w:before="0" w:beforeAutospacing="0" w:after="0" w:afterAutospacing="0"/>
              <w:ind w:firstLine="450"/>
              <w:jc w:val="both"/>
            </w:pPr>
            <w:r w:rsidRPr="008302B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BA5AF2" w14:textId="77777777" w:rsidR="008302B7" w:rsidRPr="008302B7" w:rsidRDefault="008302B7" w:rsidP="008302B7">
            <w:pPr>
              <w:pStyle w:val="rvps2"/>
              <w:shd w:val="clear" w:color="auto" w:fill="FFFFFF"/>
              <w:spacing w:before="0" w:beforeAutospacing="0" w:after="0" w:afterAutospacing="0"/>
              <w:ind w:firstLine="450"/>
              <w:jc w:val="both"/>
            </w:pPr>
            <w:r w:rsidRPr="008302B7">
              <w:t>3) покращення якості предмета закупівлі за умови, що таке покращення не призведе до збільшення суми, визначеної в договорі про закупівлю;</w:t>
            </w:r>
          </w:p>
          <w:p w14:paraId="6B3FC75C" w14:textId="77777777" w:rsidR="008302B7" w:rsidRPr="008302B7" w:rsidRDefault="008302B7" w:rsidP="008302B7">
            <w:pPr>
              <w:pStyle w:val="rvps2"/>
              <w:shd w:val="clear" w:color="auto" w:fill="FFFFFF"/>
              <w:spacing w:before="0" w:beforeAutospacing="0" w:after="0" w:afterAutospacing="0"/>
              <w:ind w:firstLine="450"/>
              <w:jc w:val="both"/>
            </w:pPr>
            <w:r w:rsidRPr="008302B7">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FFF46" w14:textId="77777777" w:rsidR="008302B7" w:rsidRPr="008302B7" w:rsidRDefault="008302B7" w:rsidP="008302B7">
            <w:pPr>
              <w:pStyle w:val="rvps2"/>
              <w:shd w:val="clear" w:color="auto" w:fill="FFFFFF"/>
              <w:spacing w:before="0" w:beforeAutospacing="0" w:after="0" w:afterAutospacing="0"/>
              <w:ind w:firstLine="450"/>
              <w:jc w:val="both"/>
            </w:pPr>
            <w:r w:rsidRPr="008302B7">
              <w:t>5) погодження зміни ціни в договорі про закупівлю в бік зменшення (без зміни кількості (обсягу) та якості товарів, робіт і послуг);</w:t>
            </w:r>
          </w:p>
          <w:p w14:paraId="2E80D4CE" w14:textId="77777777" w:rsidR="008302B7" w:rsidRPr="008302B7" w:rsidRDefault="008302B7" w:rsidP="008302B7">
            <w:pPr>
              <w:pStyle w:val="rvps2"/>
              <w:shd w:val="clear" w:color="auto" w:fill="FFFFFF"/>
              <w:spacing w:before="0" w:beforeAutospacing="0" w:after="0" w:afterAutospacing="0"/>
              <w:ind w:firstLine="450"/>
              <w:jc w:val="both"/>
            </w:pPr>
            <w:r w:rsidRPr="008302B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70BB67" w14:textId="77777777" w:rsidR="008302B7" w:rsidRPr="008302B7" w:rsidRDefault="008302B7" w:rsidP="008302B7">
            <w:pPr>
              <w:pStyle w:val="rvps2"/>
              <w:shd w:val="clear" w:color="auto" w:fill="FFFFFF"/>
              <w:spacing w:before="0" w:beforeAutospacing="0" w:after="0" w:afterAutospacing="0"/>
              <w:ind w:firstLine="450"/>
              <w:jc w:val="both"/>
            </w:pPr>
            <w:r w:rsidRPr="008302B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02B7">
              <w:t>Platts</w:t>
            </w:r>
            <w:proofErr w:type="spellEnd"/>
            <w:r w:rsidRPr="008302B7">
              <w:t xml:space="preserve">, ARGUS, регульованих цін (тарифів), </w:t>
            </w:r>
            <w:r w:rsidRPr="008302B7">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22CB8" w14:textId="77777777" w:rsidR="008302B7" w:rsidRPr="008302B7" w:rsidRDefault="008302B7" w:rsidP="008302B7">
            <w:pPr>
              <w:pStyle w:val="rvps2"/>
              <w:shd w:val="clear" w:color="auto" w:fill="FFFFFF"/>
              <w:spacing w:before="0" w:beforeAutospacing="0" w:after="0" w:afterAutospacing="0"/>
              <w:ind w:firstLine="450"/>
              <w:jc w:val="both"/>
            </w:pPr>
            <w:r w:rsidRPr="008302B7">
              <w:t>8) зміни умов у зв’язку із застосуванням положень </w:t>
            </w:r>
            <w:hyperlink r:id="rId8" w:anchor="n1778" w:tgtFrame="_blank" w:history="1">
              <w:r w:rsidRPr="008302B7">
                <w:rPr>
                  <w:rStyle w:val="a5"/>
                  <w:color w:val="auto"/>
                </w:rPr>
                <w:t>частини шостої</w:t>
              </w:r>
            </w:hyperlink>
            <w:r w:rsidRPr="008302B7">
              <w:t> статті 41 Закону;</w:t>
            </w:r>
          </w:p>
          <w:p w14:paraId="140A6191" w14:textId="77777777" w:rsidR="008302B7" w:rsidRPr="008302B7" w:rsidRDefault="008302B7" w:rsidP="008302B7">
            <w:pPr>
              <w:pStyle w:val="rvps2"/>
              <w:shd w:val="clear" w:color="auto" w:fill="FFFFFF"/>
              <w:spacing w:before="0" w:beforeAutospacing="0" w:after="0" w:afterAutospacing="0"/>
              <w:ind w:firstLine="450"/>
              <w:jc w:val="both"/>
            </w:pPr>
            <w:bookmarkStart w:id="25" w:name="n753"/>
            <w:bookmarkEnd w:id="25"/>
            <w:r w:rsidRPr="008302B7">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302B7">
                <w:rPr>
                  <w:rStyle w:val="a5"/>
                  <w:color w:val="auto"/>
                </w:rPr>
                <w:t>№ 382</w:t>
              </w:r>
            </w:hyperlink>
            <w:r w:rsidRPr="008302B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0AA6B229" w14:textId="712AB51F" w:rsidR="004A10B5" w:rsidRPr="00784459" w:rsidRDefault="00876171" w:rsidP="00784459">
            <w:pPr>
              <w:ind w:firstLine="601"/>
              <w:jc w:val="both"/>
              <w:rPr>
                <w:rFonts w:ascii="Times New Roman" w:hAnsi="Times New Roman"/>
                <w:b/>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784459" w:rsidRPr="00784459">
              <w:rPr>
                <w:rFonts w:ascii="Times New Roman" w:hAnsi="Times New Roman"/>
                <w:sz w:val="24"/>
                <w:szCs w:val="24"/>
              </w:rPr>
              <w:t>ДК 021:2015: 30210000-4 Машини для обробки даних (апаратна частина)</w:t>
            </w:r>
            <w:r w:rsidR="009D5396" w:rsidRPr="009D5396">
              <w:rPr>
                <w:rFonts w:ascii="Times New Roman" w:hAnsi="Times New Roman"/>
                <w:sz w:val="24"/>
                <w:szCs w:val="24"/>
              </w:rPr>
              <w:t xml:space="preserve"> </w:t>
            </w:r>
            <w:r w:rsidR="009D5396">
              <w:rPr>
                <w:rFonts w:ascii="Times New Roman" w:hAnsi="Times New Roman"/>
                <w:sz w:val="24"/>
                <w:szCs w:val="24"/>
              </w:rPr>
              <w:t>(</w:t>
            </w:r>
            <w:r w:rsidR="00784459" w:rsidRPr="00784459">
              <w:rPr>
                <w:rFonts w:ascii="Times New Roman" w:hAnsi="Times New Roman"/>
                <w:sz w:val="24"/>
                <w:szCs w:val="24"/>
              </w:rPr>
              <w:t xml:space="preserve">Сканер протяжний </w:t>
            </w:r>
            <w:proofErr w:type="spellStart"/>
            <w:r w:rsidR="00784459" w:rsidRPr="00784459">
              <w:rPr>
                <w:rFonts w:ascii="Times New Roman" w:hAnsi="Times New Roman"/>
                <w:sz w:val="24"/>
                <w:szCs w:val="24"/>
              </w:rPr>
              <w:t>Epson</w:t>
            </w:r>
            <w:proofErr w:type="spellEnd"/>
            <w:r w:rsidR="00784459" w:rsidRPr="00784459">
              <w:rPr>
                <w:rFonts w:ascii="Times New Roman" w:hAnsi="Times New Roman"/>
                <w:sz w:val="24"/>
                <w:szCs w:val="24"/>
              </w:rPr>
              <w:t xml:space="preserve"> </w:t>
            </w:r>
            <w:proofErr w:type="spellStart"/>
            <w:r w:rsidR="00784459" w:rsidRPr="00784459">
              <w:rPr>
                <w:rFonts w:ascii="Times New Roman" w:hAnsi="Times New Roman"/>
                <w:sz w:val="24"/>
                <w:szCs w:val="24"/>
              </w:rPr>
              <w:t>WorkForce</w:t>
            </w:r>
            <w:proofErr w:type="spellEnd"/>
            <w:r w:rsidR="00784459" w:rsidRPr="00784459">
              <w:rPr>
                <w:rFonts w:ascii="Times New Roman" w:hAnsi="Times New Roman"/>
                <w:sz w:val="24"/>
                <w:szCs w:val="24"/>
              </w:rPr>
              <w:t xml:space="preserve"> DS-410 A4 (або еквівалент); Сканер CZUR </w:t>
            </w:r>
            <w:proofErr w:type="spellStart"/>
            <w:r w:rsidR="00784459" w:rsidRPr="00784459">
              <w:rPr>
                <w:rFonts w:ascii="Times New Roman" w:hAnsi="Times New Roman"/>
                <w:sz w:val="24"/>
                <w:szCs w:val="24"/>
              </w:rPr>
              <w:t>Shine</w:t>
            </w:r>
            <w:proofErr w:type="spellEnd"/>
            <w:r w:rsidR="00784459" w:rsidRPr="00784459">
              <w:rPr>
                <w:rFonts w:ascii="Times New Roman" w:hAnsi="Times New Roman"/>
                <w:sz w:val="24"/>
                <w:szCs w:val="24"/>
              </w:rPr>
              <w:t xml:space="preserve"> 800 </w:t>
            </w:r>
            <w:proofErr w:type="spellStart"/>
            <w:r w:rsidR="00784459" w:rsidRPr="00784459">
              <w:rPr>
                <w:rFonts w:ascii="Times New Roman" w:hAnsi="Times New Roman"/>
                <w:sz w:val="24"/>
                <w:szCs w:val="24"/>
              </w:rPr>
              <w:t>Pro</w:t>
            </w:r>
            <w:proofErr w:type="spellEnd"/>
            <w:r w:rsidR="00784459" w:rsidRPr="00784459">
              <w:rPr>
                <w:rFonts w:ascii="Times New Roman" w:hAnsi="Times New Roman"/>
                <w:sz w:val="24"/>
                <w:szCs w:val="24"/>
              </w:rPr>
              <w:t xml:space="preserve"> (або еквівалент)</w:t>
            </w:r>
            <w:r w:rsidR="009D5396">
              <w:rPr>
                <w:rFonts w:ascii="Times New Roman" w:hAnsi="Times New Roman"/>
                <w:sz w:val="24"/>
                <w:szCs w:val="24"/>
              </w:rPr>
              <w:t>)</w:t>
            </w:r>
          </w:p>
          <w:p w14:paraId="763699F9" w14:textId="77777777" w:rsidR="009D5396" w:rsidRPr="009D5396" w:rsidRDefault="009D5396" w:rsidP="009D5396">
            <w:pPr>
              <w:ind w:firstLine="601"/>
              <w:jc w:val="both"/>
              <w:rPr>
                <w:rFonts w:ascii="Times New Roman" w:hAnsi="Times New Roman"/>
                <w:b/>
                <w:sz w:val="24"/>
                <w:szCs w:val="24"/>
              </w:rPr>
            </w:pPr>
          </w:p>
          <w:p w14:paraId="6AB1A764" w14:textId="0E7367AB" w:rsidR="007C61FF" w:rsidRDefault="00876171" w:rsidP="00FD6B09">
            <w:pPr>
              <w:spacing w:line="240" w:lineRule="auto"/>
              <w:ind w:firstLine="601"/>
              <w:jc w:val="both"/>
              <w:rPr>
                <w:rFonts w:ascii="Times New Roman" w:hAnsi="Times New Roman" w:cs="Times New Roman"/>
                <w:color w:val="auto"/>
                <w:sz w:val="24"/>
                <w:szCs w:val="24"/>
                <w:lang w:val="ru-RU"/>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84"/>
              <w:gridCol w:w="1494"/>
              <w:gridCol w:w="1097"/>
              <w:gridCol w:w="846"/>
            </w:tblGrid>
            <w:tr w:rsidR="00784459" w:rsidRPr="00784459" w14:paraId="4B7A729D" w14:textId="77777777" w:rsidTr="00784459">
              <w:trPr>
                <w:trHeight w:val="704"/>
                <w:jc w:val="center"/>
              </w:trPr>
              <w:tc>
                <w:tcPr>
                  <w:tcW w:w="562" w:type="dxa"/>
                  <w:vAlign w:val="center"/>
                </w:tcPr>
                <w:p w14:paraId="00D40D9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w:t>
                  </w:r>
                </w:p>
                <w:p w14:paraId="6219D236"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п/п</w:t>
                  </w:r>
                </w:p>
              </w:tc>
              <w:tc>
                <w:tcPr>
                  <w:tcW w:w="1884" w:type="dxa"/>
                  <w:vAlign w:val="center"/>
                </w:tcPr>
                <w:p w14:paraId="13A24D9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Найменування товару</w:t>
                  </w:r>
                </w:p>
              </w:tc>
              <w:tc>
                <w:tcPr>
                  <w:tcW w:w="1494" w:type="dxa"/>
                  <w:vAlign w:val="center"/>
                </w:tcPr>
                <w:p w14:paraId="54877558"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ДК 021:2015</w:t>
                  </w:r>
                </w:p>
              </w:tc>
              <w:tc>
                <w:tcPr>
                  <w:tcW w:w="1097" w:type="dxa"/>
                  <w:vAlign w:val="center"/>
                </w:tcPr>
                <w:p w14:paraId="6BAD827D"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 виміру</w:t>
                  </w:r>
                </w:p>
              </w:tc>
              <w:tc>
                <w:tcPr>
                  <w:tcW w:w="846" w:type="dxa"/>
                  <w:vAlign w:val="center"/>
                </w:tcPr>
                <w:p w14:paraId="7A73E739"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Кількість</w:t>
                  </w:r>
                </w:p>
              </w:tc>
            </w:tr>
            <w:tr w:rsidR="00784459" w:rsidRPr="00784459" w14:paraId="19781830" w14:textId="77777777" w:rsidTr="00784459">
              <w:trPr>
                <w:trHeight w:val="492"/>
                <w:jc w:val="center"/>
              </w:trPr>
              <w:tc>
                <w:tcPr>
                  <w:tcW w:w="562" w:type="dxa"/>
                  <w:vAlign w:val="center"/>
                </w:tcPr>
                <w:p w14:paraId="338BC315"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w:t>
                  </w:r>
                </w:p>
              </w:tc>
              <w:tc>
                <w:tcPr>
                  <w:tcW w:w="1884" w:type="dxa"/>
                  <w:shd w:val="clear" w:color="auto" w:fill="auto"/>
                </w:tcPr>
                <w:p w14:paraId="13C7D280"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протяжний </w:t>
                  </w:r>
                  <w:proofErr w:type="spellStart"/>
                  <w:r w:rsidRPr="00784459">
                    <w:rPr>
                      <w:rFonts w:ascii="Times New Roman" w:hAnsi="Times New Roman" w:cs="Times New Roman"/>
                      <w:sz w:val="18"/>
                      <w:szCs w:val="18"/>
                    </w:rPr>
                    <w:t>Epson</w:t>
                  </w:r>
                  <w:proofErr w:type="spellEnd"/>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WorkForce</w:t>
                  </w:r>
                  <w:proofErr w:type="spellEnd"/>
                  <w:r w:rsidRPr="00784459">
                    <w:rPr>
                      <w:rFonts w:ascii="Times New Roman" w:hAnsi="Times New Roman" w:cs="Times New Roman"/>
                      <w:sz w:val="18"/>
                      <w:szCs w:val="18"/>
                    </w:rPr>
                    <w:t xml:space="preserve"> DS-410 A4 (або еквівалент)</w:t>
                  </w:r>
                </w:p>
              </w:tc>
              <w:tc>
                <w:tcPr>
                  <w:tcW w:w="1494" w:type="dxa"/>
                </w:tcPr>
                <w:p w14:paraId="73E3321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30216110-0 — Комп’ютерні сканери</w:t>
                  </w:r>
                </w:p>
              </w:tc>
              <w:tc>
                <w:tcPr>
                  <w:tcW w:w="1097" w:type="dxa"/>
                  <w:vAlign w:val="center"/>
                </w:tcPr>
                <w:p w14:paraId="6E069CE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одиниць</w:t>
                  </w:r>
                </w:p>
              </w:tc>
              <w:tc>
                <w:tcPr>
                  <w:tcW w:w="846" w:type="dxa"/>
                  <w:vAlign w:val="center"/>
                </w:tcPr>
                <w:p w14:paraId="0EBD9133"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4</w:t>
                  </w:r>
                </w:p>
              </w:tc>
            </w:tr>
            <w:tr w:rsidR="00784459" w:rsidRPr="00784459" w14:paraId="26E17CE3" w14:textId="77777777" w:rsidTr="00784459">
              <w:trPr>
                <w:trHeight w:val="255"/>
                <w:jc w:val="center"/>
              </w:trPr>
              <w:tc>
                <w:tcPr>
                  <w:tcW w:w="562" w:type="dxa"/>
                  <w:noWrap/>
                </w:tcPr>
                <w:p w14:paraId="2F44A7EE"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2</w:t>
                  </w:r>
                </w:p>
              </w:tc>
              <w:tc>
                <w:tcPr>
                  <w:tcW w:w="1884" w:type="dxa"/>
                  <w:shd w:val="clear" w:color="auto" w:fill="auto"/>
                  <w:noWrap/>
                </w:tcPr>
                <w:p w14:paraId="77EB1BAA" w14:textId="77777777" w:rsidR="00784459" w:rsidRPr="00784459" w:rsidRDefault="00784459" w:rsidP="00664264">
                  <w:pPr>
                    <w:rPr>
                      <w:rFonts w:ascii="Times New Roman" w:hAnsi="Times New Roman" w:cs="Times New Roman"/>
                      <w:sz w:val="18"/>
                      <w:szCs w:val="18"/>
                    </w:rPr>
                  </w:pPr>
                  <w:r w:rsidRPr="00784459">
                    <w:rPr>
                      <w:rFonts w:ascii="Times New Roman" w:hAnsi="Times New Roman" w:cs="Times New Roman"/>
                      <w:sz w:val="18"/>
                      <w:szCs w:val="18"/>
                    </w:rPr>
                    <w:t xml:space="preserve">Сканер </w:t>
                  </w:r>
                  <w:r w:rsidRPr="00784459">
                    <w:rPr>
                      <w:rFonts w:ascii="Times New Roman" w:hAnsi="Times New Roman" w:cs="Times New Roman"/>
                      <w:sz w:val="18"/>
                      <w:szCs w:val="18"/>
                      <w:lang w:val="en-US"/>
                    </w:rPr>
                    <w:t>CZUR</w:t>
                  </w:r>
                  <w:r w:rsidRPr="00784459">
                    <w:rPr>
                      <w:rFonts w:ascii="Times New Roman" w:hAnsi="Times New Roman" w:cs="Times New Roman"/>
                      <w:sz w:val="18"/>
                      <w:szCs w:val="18"/>
                    </w:rPr>
                    <w:t xml:space="preserve"> </w:t>
                  </w:r>
                  <w:proofErr w:type="spellStart"/>
                  <w:r w:rsidRPr="00784459">
                    <w:rPr>
                      <w:rFonts w:ascii="Times New Roman" w:hAnsi="Times New Roman" w:cs="Times New Roman"/>
                      <w:sz w:val="18"/>
                      <w:szCs w:val="18"/>
                    </w:rPr>
                    <w:t>Shine</w:t>
                  </w:r>
                  <w:proofErr w:type="spellEnd"/>
                  <w:r w:rsidRPr="00784459">
                    <w:rPr>
                      <w:rFonts w:ascii="Times New Roman" w:hAnsi="Times New Roman" w:cs="Times New Roman"/>
                      <w:sz w:val="18"/>
                      <w:szCs w:val="18"/>
                    </w:rPr>
                    <w:t xml:space="preserve"> 800 </w:t>
                  </w:r>
                  <w:proofErr w:type="spellStart"/>
                  <w:r w:rsidRPr="00784459">
                    <w:rPr>
                      <w:rFonts w:ascii="Times New Roman" w:hAnsi="Times New Roman" w:cs="Times New Roman"/>
                      <w:sz w:val="18"/>
                      <w:szCs w:val="18"/>
                    </w:rPr>
                    <w:t>Pro</w:t>
                  </w:r>
                  <w:proofErr w:type="spellEnd"/>
                  <w:r w:rsidRPr="00784459">
                    <w:rPr>
                      <w:rFonts w:ascii="Times New Roman" w:hAnsi="Times New Roman" w:cs="Times New Roman"/>
                      <w:sz w:val="18"/>
                      <w:szCs w:val="18"/>
                    </w:rPr>
                    <w:t xml:space="preserve"> (або еквівалент)</w:t>
                  </w:r>
                </w:p>
              </w:tc>
              <w:tc>
                <w:tcPr>
                  <w:tcW w:w="1494" w:type="dxa"/>
                </w:tcPr>
                <w:p w14:paraId="11915088"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30216110-0 — Комп’ютерні сканери</w:t>
                  </w:r>
                </w:p>
              </w:tc>
              <w:tc>
                <w:tcPr>
                  <w:tcW w:w="1097" w:type="dxa"/>
                  <w:noWrap/>
                  <w:vAlign w:val="center"/>
                </w:tcPr>
                <w:p w14:paraId="0ECB29FB" w14:textId="77777777" w:rsidR="00784459" w:rsidRPr="00784459" w:rsidRDefault="00784459" w:rsidP="00664264">
                  <w:pPr>
                    <w:jc w:val="center"/>
                    <w:rPr>
                      <w:rFonts w:ascii="Times New Roman" w:hAnsi="Times New Roman" w:cs="Times New Roman"/>
                      <w:color w:val="auto"/>
                      <w:sz w:val="18"/>
                      <w:szCs w:val="18"/>
                    </w:rPr>
                  </w:pPr>
                  <w:r w:rsidRPr="00784459">
                    <w:rPr>
                      <w:rFonts w:ascii="Times New Roman" w:hAnsi="Times New Roman" w:cs="Times New Roman"/>
                      <w:color w:val="auto"/>
                      <w:sz w:val="18"/>
                      <w:szCs w:val="18"/>
                    </w:rPr>
                    <w:t>одиниць</w:t>
                  </w:r>
                </w:p>
              </w:tc>
              <w:tc>
                <w:tcPr>
                  <w:tcW w:w="846" w:type="dxa"/>
                  <w:noWrap/>
                  <w:vAlign w:val="center"/>
                </w:tcPr>
                <w:p w14:paraId="23163AFB" w14:textId="77777777" w:rsidR="00784459" w:rsidRPr="00784459" w:rsidRDefault="00784459" w:rsidP="00664264">
                  <w:pPr>
                    <w:jc w:val="center"/>
                    <w:rPr>
                      <w:rFonts w:ascii="Times New Roman" w:hAnsi="Times New Roman" w:cs="Times New Roman"/>
                      <w:sz w:val="18"/>
                      <w:szCs w:val="18"/>
                    </w:rPr>
                  </w:pPr>
                  <w:r w:rsidRPr="00784459">
                    <w:rPr>
                      <w:rFonts w:ascii="Times New Roman" w:hAnsi="Times New Roman" w:cs="Times New Roman"/>
                      <w:sz w:val="18"/>
                      <w:szCs w:val="18"/>
                    </w:rPr>
                    <w:t>15</w:t>
                  </w:r>
                </w:p>
              </w:tc>
            </w:tr>
          </w:tbl>
          <w:p w14:paraId="7C5CB2E8" w14:textId="77777777" w:rsidR="00784459" w:rsidRPr="00784459" w:rsidRDefault="00784459" w:rsidP="00FD6B09">
            <w:pPr>
              <w:spacing w:line="240" w:lineRule="auto"/>
              <w:ind w:firstLine="601"/>
              <w:jc w:val="both"/>
              <w:rPr>
                <w:rFonts w:ascii="Times New Roman" w:hAnsi="Times New Roman" w:cs="Times New Roman"/>
                <w:b/>
                <w:color w:val="auto"/>
                <w:sz w:val="24"/>
                <w:szCs w:val="24"/>
                <w:lang w:val="ru-RU"/>
              </w:rPr>
            </w:pPr>
          </w:p>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05D04DF3"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C942DB" w:rsidRPr="00C942DB">
              <w:rPr>
                <w:rFonts w:ascii="Times New Roman" w:hAnsi="Times New Roman" w:cs="Times New Roman"/>
                <w:sz w:val="24"/>
                <w:szCs w:val="24"/>
              </w:rPr>
              <w:t>рахунку та видаткової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42FE9998"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D5396" w:rsidRPr="009D5396">
              <w:rPr>
                <w:rFonts w:ascii="Times New Roman" w:hAnsi="Times New Roman" w:cs="Times New Roman"/>
                <w:color w:val="auto"/>
                <w:sz w:val="24"/>
                <w:szCs w:val="24"/>
              </w:rPr>
              <w:t xml:space="preserve">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w:t>
            </w:r>
            <w:r w:rsidR="009D5396" w:rsidRPr="009D5396">
              <w:rPr>
                <w:rFonts w:ascii="Times New Roman" w:hAnsi="Times New Roman" w:cs="Times New Roman"/>
                <w:color w:val="auto"/>
                <w:sz w:val="24"/>
                <w:szCs w:val="24"/>
              </w:rPr>
              <w:lastRenderedPageBreak/>
              <w:t>витрат, відповідно до цін, діючих на ринку на дані товари та згідно вимог діючих законодавчих, і розпорядчих актів щодо формування ціни.</w:t>
            </w:r>
            <w:r w:rsidR="00987123" w:rsidRPr="00632631">
              <w:rPr>
                <w:rFonts w:ascii="Times New Roman" w:hAnsi="Times New Roman" w:cs="Times New Roman"/>
                <w:color w:val="auto"/>
                <w:sz w:val="24"/>
                <w:szCs w:val="24"/>
              </w:rPr>
              <w:t>.</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66CB46F8"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9D5396" w:rsidRPr="009D5396">
              <w:rPr>
                <w:rFonts w:ascii="Times New Roman" w:hAnsi="Times New Roman" w:cs="Times New Roman"/>
                <w:bCs/>
                <w:sz w:val="24"/>
                <w:szCs w:val="24"/>
              </w:rPr>
              <w:t>протягом 5 (п’яти) робочих днів з дати отримання заявки від Покупця, до 31.12.2023р</w:t>
            </w:r>
            <w:r w:rsidR="004B4F3E" w:rsidRPr="00632631">
              <w:rPr>
                <w:rFonts w:ascii="Times New Roman" w:hAnsi="Times New Roman" w:cs="Times New Roman"/>
                <w:bCs/>
                <w:sz w:val="24"/>
                <w:szCs w:val="24"/>
              </w:rPr>
              <w:t>.</w:t>
            </w:r>
            <w:bookmarkEnd w:id="32"/>
          </w:p>
          <w:bookmarkEnd w:id="33"/>
          <w:p w14:paraId="793E8CA1" w14:textId="1FAF8A80"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9D5396" w:rsidRPr="009D5396">
              <w:rPr>
                <w:rFonts w:ascii="Times New Roman" w:hAnsi="Times New Roman" w:cs="Times New Roman"/>
                <w:sz w:val="24"/>
                <w:szCs w:val="24"/>
              </w:rPr>
              <w:t>73003, Україна, Херсонська обл., м. Херсон, проспект Ушакова, 37</w:t>
            </w:r>
            <w:r w:rsidR="009D5396">
              <w:rPr>
                <w:rFonts w:ascii="Times New Roman" w:hAnsi="Times New Roman" w:cs="Times New Roman"/>
                <w:sz w:val="24"/>
                <w:szCs w:val="24"/>
              </w:rPr>
              <w:t>.</w:t>
            </w:r>
          </w:p>
          <w:p w14:paraId="3C1C407B" w14:textId="795555BB" w:rsidR="007308B4"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w:t>
            </w:r>
          </w:p>
          <w:p w14:paraId="7E3C1D72" w14:textId="77777777" w:rsidR="009D5396" w:rsidRPr="00A7220C" w:rsidRDefault="009D5396" w:rsidP="009D5396">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6342A74E" w14:textId="77777777" w:rsidR="009D5396" w:rsidRPr="00A7220C" w:rsidRDefault="009D5396" w:rsidP="009D5396">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0F195626" w14:textId="77777777" w:rsidR="009D5396" w:rsidRDefault="009D5396" w:rsidP="009D5396">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наявність експлуатаційної документації (на електронному або паперовому носіях), яка надається під час поставки.</w:t>
            </w:r>
          </w:p>
          <w:p w14:paraId="142D1D91" w14:textId="77777777" w:rsidR="009D5396" w:rsidRPr="00B627FB" w:rsidRDefault="009D5396" w:rsidP="009D5396">
            <w:pPr>
              <w:spacing w:line="240" w:lineRule="auto"/>
              <w:ind w:firstLine="601"/>
              <w:jc w:val="both"/>
              <w:textAlignment w:val="top"/>
              <w:rPr>
                <w:rFonts w:ascii="Times New Roman" w:hAnsi="Times New Roman" w:cs="Times New Roman"/>
                <w:sz w:val="24"/>
                <w:szCs w:val="24"/>
                <w:lang w:eastAsia="zh-CN"/>
              </w:rPr>
            </w:pPr>
            <w:r w:rsidRPr="00B627FB">
              <w:rPr>
                <w:rFonts w:ascii="Times New Roman" w:eastAsia="Arial" w:hAnsi="Times New Roman" w:cs="Times New Roman"/>
                <w:sz w:val="24"/>
                <w:szCs w:val="24"/>
              </w:rPr>
              <w:t xml:space="preserve">- </w:t>
            </w:r>
            <w:r w:rsidRPr="00B627FB">
              <w:rPr>
                <w:rFonts w:ascii="Times New Roman" w:eastAsia="Arial" w:hAnsi="Times New Roman" w:cs="Times New Roman"/>
                <w:b/>
                <w:sz w:val="24"/>
                <w:szCs w:val="24"/>
                <w:u w:val="single"/>
              </w:rPr>
              <w:t>гарантійні зобов’язання</w:t>
            </w:r>
            <w:r w:rsidRPr="00B627FB">
              <w:rPr>
                <w:rFonts w:ascii="Times New Roman" w:eastAsia="Arial" w:hAnsi="Times New Roman" w:cs="Times New Roman"/>
                <w:sz w:val="24"/>
                <w:szCs w:val="24"/>
              </w:rPr>
              <w:t>:</w:t>
            </w:r>
            <w:r w:rsidRPr="00B627FB">
              <w:rPr>
                <w:rFonts w:ascii="Times New Roman" w:hAnsi="Times New Roman" w:cs="Times New Roman"/>
                <w:sz w:val="24"/>
                <w:szCs w:val="24"/>
                <w:lang w:eastAsia="zh-CN"/>
              </w:rPr>
              <w:t xml:space="preserve"> </w:t>
            </w:r>
          </w:p>
          <w:p w14:paraId="59C6EABC" w14:textId="42E39133" w:rsidR="009D5396" w:rsidRPr="009D5396" w:rsidRDefault="009D5396" w:rsidP="009D5396">
            <w:pPr>
              <w:spacing w:line="240" w:lineRule="auto"/>
              <w:ind w:firstLine="601"/>
              <w:jc w:val="both"/>
              <w:textAlignment w:val="top"/>
              <w:rPr>
                <w:rFonts w:ascii="Times New Roman" w:hAnsi="Times New Roman" w:cs="Times New Roman"/>
                <w:sz w:val="24"/>
                <w:szCs w:val="24"/>
              </w:rPr>
            </w:pPr>
            <w:r w:rsidRPr="00B627FB">
              <w:rPr>
                <w:rFonts w:ascii="Times New Roman" w:hAnsi="Times New Roman" w:cs="Times New Roman"/>
                <w:sz w:val="24"/>
                <w:szCs w:val="24"/>
                <w:lang w:eastAsia="zh-CN"/>
              </w:rPr>
              <w:t>-</w:t>
            </w:r>
            <w:r w:rsidRPr="00B627FB">
              <w:rPr>
                <w:rFonts w:ascii="Times New Roman" w:hAnsi="Times New Roman"/>
                <w:sz w:val="24"/>
                <w:szCs w:val="24"/>
              </w:rPr>
              <w:t xml:space="preserve"> </w:t>
            </w:r>
            <w:r w:rsidRPr="00BB404B">
              <w:rPr>
                <w:rFonts w:ascii="Times New Roman" w:hAnsi="Times New Roman"/>
                <w:sz w:val="24"/>
                <w:szCs w:val="24"/>
              </w:rPr>
              <w:t xml:space="preserve"> </w:t>
            </w:r>
            <w:r w:rsidRPr="009D5396">
              <w:rPr>
                <w:rFonts w:ascii="Times New Roman" w:hAnsi="Times New Roman"/>
                <w:sz w:val="24"/>
                <w:szCs w:val="24"/>
              </w:rPr>
              <w:t>Гарантійний строк експлуатації на Товар – 12 місяців  з моменту отримання його Замовником згідно дати  на накладній</w:t>
            </w:r>
            <w:r w:rsidRPr="00B627FB">
              <w:rPr>
                <w:rFonts w:ascii="Times New Roman" w:hAnsi="Times New Roman" w:cs="Times New Roman"/>
                <w:sz w:val="24"/>
                <w:szCs w:val="24"/>
              </w:rPr>
              <w:t>.</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F18CFE7" w14:textId="77777777" w:rsidR="009D5396" w:rsidRDefault="00FB1E61" w:rsidP="008A4FB2">
            <w:pPr>
              <w:spacing w:line="240" w:lineRule="auto"/>
              <w:ind w:firstLine="601"/>
              <w:jc w:val="both"/>
              <w:rPr>
                <w:rFonts w:ascii="Times New Roman" w:hAnsi="Times New Roman" w:cs="Times New Roman"/>
                <w:bCs/>
                <w:sz w:val="24"/>
                <w:szCs w:val="24"/>
              </w:rPr>
            </w:pPr>
            <w:r w:rsidRPr="00632631">
              <w:rPr>
                <w:rFonts w:ascii="Times New Roman" w:hAnsi="Times New Roman" w:cs="Times New Roman"/>
                <w:sz w:val="24"/>
                <w:szCs w:val="24"/>
              </w:rPr>
              <w:t xml:space="preserve">- </w:t>
            </w:r>
            <w:r w:rsidR="009D5396" w:rsidRPr="009D5396">
              <w:rPr>
                <w:rFonts w:ascii="Times New Roman" w:hAnsi="Times New Roman" w:cs="Times New Roman"/>
                <w:bCs/>
                <w:sz w:val="24"/>
                <w:szCs w:val="24"/>
              </w:rPr>
              <w:t>постачальник повинен поставити Замовнику товар, якість якого відповідає умовам технічного завдання тендерної документації Замовника.</w:t>
            </w:r>
          </w:p>
          <w:p w14:paraId="67BECCCC" w14:textId="65ECA7AF"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35262366" w:rsidR="003E30A3" w:rsidRPr="00632631" w:rsidRDefault="009D5396" w:rsidP="008A4FB2">
            <w:pPr>
              <w:spacing w:line="240" w:lineRule="auto"/>
              <w:ind w:firstLine="601"/>
              <w:jc w:val="both"/>
              <w:rPr>
                <w:rFonts w:ascii="Times New Roman" w:eastAsia="Arial" w:hAnsi="Times New Roman" w:cs="Times New Roman"/>
                <w:sz w:val="24"/>
                <w:szCs w:val="24"/>
              </w:rPr>
            </w:pPr>
            <w:r w:rsidRPr="009D5396">
              <w:rPr>
                <w:rFonts w:ascii="Times New Roman" w:eastAsia="Arial" w:hAnsi="Times New Roman" w:cs="Times New Roman"/>
                <w:sz w:val="24"/>
                <w:szCs w:val="24"/>
              </w:rPr>
              <w:t xml:space="preserve">Даний Договір набуває чинності з моменту підписання його Сторонами й діє до 31 грудня 2023 року, </w:t>
            </w:r>
            <w:r w:rsidR="006C15AB" w:rsidRPr="006C15AB">
              <w:rPr>
                <w:rFonts w:ascii="Times New Roman" w:eastAsia="Arial" w:hAnsi="Times New Roman" w:cs="Times New Roman"/>
                <w:sz w:val="24"/>
                <w:szCs w:val="24"/>
              </w:rPr>
              <w:t xml:space="preserve">але в будь-якому випадку </w:t>
            </w:r>
            <w:r w:rsidRPr="009D5396">
              <w:rPr>
                <w:rFonts w:ascii="Times New Roman" w:eastAsia="Arial" w:hAnsi="Times New Roman" w:cs="Times New Roman"/>
                <w:sz w:val="24"/>
                <w:szCs w:val="24"/>
              </w:rPr>
              <w:t>до повного виконання Сторонами прийнятих на себе зобов'язань</w:t>
            </w:r>
            <w:r w:rsidR="003E30A3" w:rsidRPr="00632631">
              <w:rPr>
                <w:rFonts w:ascii="Times New Roman" w:eastAsia="Arial" w:hAnsi="Times New Roman" w:cs="Times New Roman"/>
                <w:sz w:val="24"/>
                <w:szCs w:val="24"/>
              </w:rPr>
              <w:t>.</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w:t>
            </w:r>
            <w:r w:rsidRPr="00632631">
              <w:lastRenderedPageBreak/>
              <w:t xml:space="preserve">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10"/>
      <w:headerReference w:type="default" r:id="rId11"/>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5E0227">
      <w:rPr>
        <w:rStyle w:val="a4"/>
        <w:rFonts w:cs="Arial"/>
        <w:noProof/>
      </w:rPr>
      <w:t>26</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0E3C"/>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0227"/>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15AB"/>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4459"/>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1DDE"/>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2B7"/>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5396"/>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2DB"/>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7D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050"/>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1640F644-CC7A-465A-A010-287CA6F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1607-DD53-4200-B33B-9B63B44B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29</Pages>
  <Words>44293</Words>
  <Characters>25248</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69403</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206</cp:revision>
  <cp:lastPrinted>2020-07-09T11:32:00Z</cp:lastPrinted>
  <dcterms:created xsi:type="dcterms:W3CDTF">2023-01-23T14:26:00Z</dcterms:created>
  <dcterms:modified xsi:type="dcterms:W3CDTF">2023-12-04T07:45:00Z</dcterms:modified>
</cp:coreProperties>
</file>