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E14C" w14:textId="77777777" w:rsidR="00412264" w:rsidRPr="00412264" w:rsidRDefault="00412264" w:rsidP="00412264">
      <w:pPr>
        <w:widowControl w:val="0"/>
        <w:spacing w:line="0" w:lineRule="atLeast"/>
        <w:ind w:right="126" w:firstLine="567"/>
        <w:rPr>
          <w:rFonts w:eastAsia="Calibri"/>
          <w:b/>
          <w:color w:val="FF0000"/>
        </w:rPr>
      </w:pPr>
    </w:p>
    <w:p w14:paraId="699903E4" w14:textId="58D575FE" w:rsidR="00412264" w:rsidRPr="00412264" w:rsidRDefault="00412264" w:rsidP="00412264">
      <w:pPr>
        <w:suppressAutoHyphens/>
        <w:spacing w:line="0" w:lineRule="atLeast"/>
        <w:ind w:firstLine="567"/>
        <w:jc w:val="right"/>
        <w:rPr>
          <w:rFonts w:eastAsia="Calibri"/>
          <w:b/>
          <w:bCs/>
          <w:i/>
          <w:iCs/>
          <w:color w:val="000000"/>
        </w:rPr>
      </w:pPr>
      <w:r w:rsidRPr="00412264">
        <w:rPr>
          <w:rFonts w:eastAsia="Calibri"/>
          <w:b/>
          <w:bCs/>
          <w:i/>
          <w:iCs/>
          <w:color w:val="000000"/>
        </w:rPr>
        <w:t xml:space="preserve">Додаток 2 </w:t>
      </w:r>
    </w:p>
    <w:p w14:paraId="2E372629" w14:textId="77777777" w:rsidR="00412264" w:rsidRPr="00412264" w:rsidRDefault="00412264" w:rsidP="00412264">
      <w:pPr>
        <w:suppressAutoHyphens/>
        <w:spacing w:line="0" w:lineRule="atLeast"/>
        <w:ind w:firstLine="567"/>
        <w:jc w:val="right"/>
        <w:rPr>
          <w:rFonts w:eastAsia="Calibri"/>
          <w:b/>
          <w:bCs/>
          <w:color w:val="000000"/>
        </w:rPr>
      </w:pPr>
      <w:r w:rsidRPr="00412264">
        <w:rPr>
          <w:rFonts w:eastAsia="Calibri"/>
          <w:b/>
          <w:bCs/>
          <w:color w:val="000000"/>
        </w:rPr>
        <w:t>до тендерної документації</w:t>
      </w:r>
    </w:p>
    <w:p w14:paraId="14BFAEB1" w14:textId="77777777" w:rsidR="00412264" w:rsidRPr="00412264" w:rsidRDefault="00412264" w:rsidP="00412264">
      <w:pPr>
        <w:widowControl w:val="0"/>
        <w:tabs>
          <w:tab w:val="left" w:pos="1080"/>
        </w:tabs>
        <w:jc w:val="center"/>
        <w:rPr>
          <w:rFonts w:eastAsia="Times New Roman"/>
          <w:b/>
          <w:color w:val="000000"/>
          <w:lang w:eastAsia="ru-RU"/>
        </w:rPr>
      </w:pPr>
    </w:p>
    <w:p w14:paraId="189D6DD5" w14:textId="77777777" w:rsidR="00412264" w:rsidRPr="00412264" w:rsidRDefault="00412264" w:rsidP="00412264">
      <w:pPr>
        <w:widowControl w:val="0"/>
        <w:tabs>
          <w:tab w:val="left" w:pos="1080"/>
        </w:tabs>
        <w:jc w:val="center"/>
        <w:rPr>
          <w:rFonts w:eastAsia="Times New Roman"/>
          <w:b/>
          <w:lang w:eastAsia="ru-RU"/>
        </w:rPr>
      </w:pPr>
      <w:r w:rsidRPr="00412264">
        <w:rPr>
          <w:rFonts w:eastAsia="Times New Roman"/>
          <w:b/>
          <w:color w:val="000000"/>
          <w:lang w:eastAsia="ru-RU"/>
        </w:rPr>
        <w:t xml:space="preserve">Підстави для відмови учаснику в участі у процедурі закупівлі, </w:t>
      </w:r>
      <w:r w:rsidRPr="00412264">
        <w:rPr>
          <w:rFonts w:eastAsia="Times New Roman"/>
          <w:b/>
          <w:lang w:eastAsia="ru-RU"/>
        </w:rPr>
        <w:t>встановлені статтею 17 Закону та інформація про спосіб підтвердження учасником відсутності цих підстав</w:t>
      </w:r>
    </w:p>
    <w:p w14:paraId="6A8B3A53" w14:textId="77777777" w:rsidR="00412264" w:rsidRPr="00412264" w:rsidRDefault="00412264" w:rsidP="00412264">
      <w:pPr>
        <w:widowControl w:val="0"/>
        <w:tabs>
          <w:tab w:val="left" w:pos="1080"/>
        </w:tabs>
        <w:jc w:val="center"/>
        <w:rPr>
          <w:rFonts w:eastAsia="Times New Roman"/>
          <w:b/>
          <w:lang w:eastAsia="ru-RU"/>
        </w:rPr>
      </w:pPr>
    </w:p>
    <w:p w14:paraId="7A4979F6" w14:textId="77777777" w:rsidR="00412264" w:rsidRPr="00412264" w:rsidRDefault="00412264" w:rsidP="00412264">
      <w:pPr>
        <w:ind w:left="14" w:firstLine="538"/>
        <w:rPr>
          <w:rFonts w:eastAsia="Times New Roman"/>
          <w:color w:val="000000"/>
          <w:lang w:eastAsia="ru-RU"/>
        </w:rPr>
      </w:pPr>
      <w:r w:rsidRPr="00412264">
        <w:rPr>
          <w:rFonts w:eastAsia="Times New Roman"/>
          <w:color w:val="000000"/>
          <w:lang w:eastAsia="ru-RU"/>
        </w:rPr>
        <w:t xml:space="preserve">Інформація про відсутність підстав, визначених </w:t>
      </w:r>
      <w:r w:rsidRPr="00412264">
        <w:rPr>
          <w:rFonts w:eastAsia="Times New Roman"/>
          <w:b/>
          <w:color w:val="000000"/>
          <w:lang w:eastAsia="ru-RU"/>
        </w:rPr>
        <w:t>у частині 1 статті 17 Закону</w:t>
      </w:r>
      <w:r w:rsidRPr="00412264">
        <w:rPr>
          <w:rFonts w:eastAsia="Times New Roman"/>
          <w:color w:val="000000"/>
          <w:lang w:eastAsia="ru-RU"/>
        </w:rPr>
        <w:t xml:space="preserve"> надається учасником під час подання тендерної пропозиції, </w:t>
      </w:r>
      <w:r w:rsidRPr="00412264">
        <w:rPr>
          <w:rFonts w:eastAsia="Times New Roman"/>
          <w:b/>
          <w:color w:val="000000"/>
          <w:lang w:eastAsia="ru-RU"/>
        </w:rPr>
        <w:t xml:space="preserve">шляхом заповнення окремих електронних полів в електронній системі </w:t>
      </w:r>
      <w:proofErr w:type="spellStart"/>
      <w:r w:rsidRPr="00412264">
        <w:rPr>
          <w:rFonts w:eastAsia="Times New Roman"/>
          <w:b/>
          <w:color w:val="000000"/>
          <w:lang w:eastAsia="ru-RU"/>
        </w:rPr>
        <w:t>закупівель</w:t>
      </w:r>
      <w:proofErr w:type="spellEnd"/>
      <w:r w:rsidRPr="00412264">
        <w:rPr>
          <w:rFonts w:eastAsia="Times New Roman"/>
          <w:b/>
          <w:color w:val="000000"/>
          <w:lang w:eastAsia="ru-RU"/>
        </w:rPr>
        <w:t>.</w:t>
      </w:r>
    </w:p>
    <w:p w14:paraId="6FD8BD36" w14:textId="77777777" w:rsidR="00412264" w:rsidRPr="00412264" w:rsidRDefault="00412264" w:rsidP="00412264">
      <w:pPr>
        <w:widowControl w:val="0"/>
        <w:tabs>
          <w:tab w:val="left" w:pos="1080"/>
        </w:tabs>
        <w:ind w:left="720"/>
        <w:contextualSpacing/>
        <w:rPr>
          <w:rFonts w:eastAsia="Times New Roman"/>
          <w:color w:val="000000"/>
          <w:lang w:eastAsia="ru-RU"/>
        </w:rPr>
      </w:pPr>
    </w:p>
    <w:p w14:paraId="68DFC1B7" w14:textId="77777777" w:rsidR="00412264" w:rsidRPr="00412264" w:rsidRDefault="00412264" w:rsidP="00412264">
      <w:pPr>
        <w:widowControl w:val="0"/>
        <w:tabs>
          <w:tab w:val="left" w:pos="1080"/>
        </w:tabs>
        <w:ind w:left="720"/>
        <w:contextualSpacing/>
        <w:jc w:val="center"/>
        <w:rPr>
          <w:rFonts w:eastAsia="Times New Roman"/>
          <w:b/>
          <w:lang w:eastAsia="ru-RU"/>
        </w:rPr>
      </w:pPr>
      <w:r w:rsidRPr="00412264">
        <w:rPr>
          <w:rFonts w:eastAsia="Times New Roman"/>
          <w:b/>
          <w:color w:val="000000"/>
          <w:lang w:eastAsia="ru-RU"/>
        </w:rPr>
        <w:t>Інформація про спосіб підтвердження відсутності підстав, визначених у частині 1 статті 17 Закону.</w:t>
      </w:r>
    </w:p>
    <w:p w14:paraId="6B17887B" w14:textId="77777777" w:rsidR="00412264" w:rsidRPr="00412264" w:rsidRDefault="00412264" w:rsidP="00412264">
      <w:pPr>
        <w:widowControl w:val="0"/>
        <w:tabs>
          <w:tab w:val="left" w:pos="1080"/>
        </w:tabs>
        <w:jc w:val="center"/>
        <w:rPr>
          <w:rFonts w:eastAsia="Times New Roman"/>
          <w:b/>
          <w:lang w:eastAsia="ru-RU"/>
        </w:rPr>
      </w:pPr>
    </w:p>
    <w:tbl>
      <w:tblPr>
        <w:tblStyle w:val="1"/>
        <w:tblW w:w="10915" w:type="dxa"/>
        <w:tblInd w:w="-1026" w:type="dxa"/>
        <w:tblLook w:val="04A0" w:firstRow="1" w:lastRow="0" w:firstColumn="1" w:lastColumn="0" w:noHBand="0" w:noVBand="1"/>
      </w:tblPr>
      <w:tblGrid>
        <w:gridCol w:w="5386"/>
        <w:gridCol w:w="5529"/>
      </w:tblGrid>
      <w:tr w:rsidR="005D5CE2" w:rsidRPr="005D5CE2" w14:paraId="535DD35E" w14:textId="77777777" w:rsidTr="008B399C">
        <w:tc>
          <w:tcPr>
            <w:tcW w:w="5386" w:type="dxa"/>
          </w:tcPr>
          <w:p w14:paraId="431B5B09" w14:textId="77777777" w:rsidR="005D5CE2" w:rsidRPr="005D5CE2" w:rsidRDefault="005D5CE2" w:rsidP="005D5CE2">
            <w:pPr>
              <w:widowControl w:val="0"/>
              <w:jc w:val="center"/>
              <w:rPr>
                <w:rFonts w:ascii="Times New Roman" w:hAnsi="Times New Roman"/>
                <w:b/>
              </w:rPr>
            </w:pPr>
            <w:r w:rsidRPr="005D5CE2">
              <w:rPr>
                <w:rFonts w:ascii="Times New Roman" w:hAnsi="Times New Roman"/>
                <w:b/>
              </w:rPr>
              <w:t>Вимоги статті 17 Закону</w:t>
            </w:r>
          </w:p>
        </w:tc>
        <w:tc>
          <w:tcPr>
            <w:tcW w:w="5529" w:type="dxa"/>
          </w:tcPr>
          <w:p w14:paraId="0B80482E" w14:textId="77777777" w:rsidR="005D5CE2" w:rsidRPr="005D5CE2" w:rsidRDefault="005D5CE2" w:rsidP="005D5CE2">
            <w:pPr>
              <w:widowControl w:val="0"/>
              <w:jc w:val="center"/>
              <w:rPr>
                <w:rFonts w:ascii="Times New Roman" w:hAnsi="Times New Roman"/>
                <w:b/>
              </w:rPr>
            </w:pPr>
            <w:r w:rsidRPr="005D5CE2">
              <w:rPr>
                <w:rFonts w:ascii="Times New Roman" w:hAnsi="Times New Roman"/>
                <w:b/>
              </w:rPr>
              <w:t xml:space="preserve">Переможець торгів на виконання вимоги статті 17 Закону (підтвердження відсутності підстав) з урахуванням пункту 44 Особливостей у строк, що не перевищує чотири дні з дати оприлюднення в електронній системі </w:t>
            </w:r>
            <w:proofErr w:type="spellStart"/>
            <w:r w:rsidRPr="005D5CE2">
              <w:rPr>
                <w:rFonts w:ascii="Times New Roman" w:hAnsi="Times New Roman"/>
                <w:b/>
              </w:rPr>
              <w:t>закупівель</w:t>
            </w:r>
            <w:proofErr w:type="spellEnd"/>
            <w:r w:rsidRPr="005D5CE2">
              <w:rPr>
                <w:rFonts w:ascii="Times New Roman" w:hAnsi="Times New Roman"/>
                <w:b/>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5D5CE2">
              <w:rPr>
                <w:rFonts w:ascii="Times New Roman" w:hAnsi="Times New Roman"/>
                <w:b/>
              </w:rPr>
              <w:t>закупівель</w:t>
            </w:r>
            <w:proofErr w:type="spellEnd"/>
            <w:r w:rsidRPr="005D5CE2">
              <w:rPr>
                <w:rFonts w:ascii="Times New Roman" w:hAnsi="Times New Roman"/>
                <w:b/>
              </w:rPr>
              <w:t>:</w:t>
            </w:r>
          </w:p>
        </w:tc>
      </w:tr>
      <w:tr w:rsidR="005D5CE2" w:rsidRPr="005D5CE2" w14:paraId="2708E45A" w14:textId="77777777" w:rsidTr="008B399C">
        <w:tc>
          <w:tcPr>
            <w:tcW w:w="5386" w:type="dxa"/>
          </w:tcPr>
          <w:p w14:paraId="5182A200" w14:textId="77777777" w:rsidR="005D5CE2" w:rsidRPr="005D5CE2" w:rsidRDefault="005D5CE2" w:rsidP="005D5CE2">
            <w:pPr>
              <w:widowControl w:val="0"/>
              <w:jc w:val="both"/>
              <w:rPr>
                <w:rFonts w:ascii="Times New Roman" w:hAnsi="Times New Roman"/>
              </w:rPr>
            </w:pPr>
            <w:r w:rsidRPr="005D5CE2">
              <w:rPr>
                <w:rFonts w:ascii="Times New Roman" w:hAnsi="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1B8DC693" w14:textId="77777777" w:rsidR="005D5CE2" w:rsidRPr="005D5CE2" w:rsidRDefault="005D5CE2" w:rsidP="005D5CE2">
            <w:pPr>
              <w:widowControl w:val="0"/>
              <w:jc w:val="both"/>
              <w:rPr>
                <w:rFonts w:ascii="Times New Roman" w:hAnsi="Times New Roman"/>
                <w:b/>
              </w:rPr>
            </w:pPr>
            <w:r w:rsidRPr="005D5CE2">
              <w:rPr>
                <w:rFonts w:ascii="Times New Roman" w:hAnsi="Times New Roman"/>
                <w:b/>
              </w:rPr>
              <w:t>(пункт 3 частини 1 статті 17 Закону)</w:t>
            </w:r>
          </w:p>
        </w:tc>
        <w:tc>
          <w:tcPr>
            <w:tcW w:w="5529" w:type="dxa"/>
          </w:tcPr>
          <w:p w14:paraId="2907B073" w14:textId="77777777" w:rsidR="005D5CE2" w:rsidRPr="005D5CE2" w:rsidRDefault="005D5CE2" w:rsidP="005D5CE2">
            <w:pPr>
              <w:widowControl w:val="0"/>
              <w:jc w:val="both"/>
              <w:rPr>
                <w:rFonts w:ascii="Times New Roman" w:hAnsi="Times New Roman"/>
              </w:rPr>
            </w:pPr>
            <w:r w:rsidRPr="005D5CE2">
              <w:rPr>
                <w:rFonts w:ascii="Times New Roman" w:hAnsi="Times New Roma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D5CE2" w:rsidRPr="005D5CE2" w14:paraId="73BEEEDA" w14:textId="77777777" w:rsidTr="008B399C">
        <w:tc>
          <w:tcPr>
            <w:tcW w:w="5386" w:type="dxa"/>
          </w:tcPr>
          <w:p w14:paraId="1B2D097E" w14:textId="77777777" w:rsidR="005D5CE2" w:rsidRPr="005D5CE2" w:rsidRDefault="005D5CE2" w:rsidP="005D5CE2">
            <w:pPr>
              <w:widowControl w:val="0"/>
              <w:jc w:val="both"/>
              <w:rPr>
                <w:rFonts w:ascii="Times New Roman" w:hAnsi="Times New Roman"/>
              </w:rPr>
            </w:pPr>
            <w:r w:rsidRPr="005D5CE2">
              <w:rPr>
                <w:rFonts w:ascii="Times New Roman" w:hAnsi="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29D1F47A" w14:textId="77777777" w:rsidR="005D5CE2" w:rsidRPr="005D5CE2" w:rsidRDefault="005D5CE2" w:rsidP="005D5CE2">
            <w:pPr>
              <w:widowControl w:val="0"/>
              <w:jc w:val="both"/>
              <w:rPr>
                <w:rFonts w:ascii="Times New Roman" w:hAnsi="Times New Roman"/>
                <w:b/>
              </w:rPr>
            </w:pPr>
            <w:r w:rsidRPr="005D5CE2">
              <w:rPr>
                <w:rFonts w:ascii="Times New Roman" w:hAnsi="Times New Roman"/>
                <w:b/>
              </w:rPr>
              <w:t>(пункт 5 частини 1 статті 17 Закону)</w:t>
            </w:r>
          </w:p>
        </w:tc>
        <w:tc>
          <w:tcPr>
            <w:tcW w:w="5529" w:type="dxa"/>
          </w:tcPr>
          <w:p w14:paraId="769CADA8" w14:textId="58A5BC1D" w:rsidR="005D5CE2" w:rsidRPr="005D5CE2" w:rsidRDefault="005D5CE2" w:rsidP="005D5CE2">
            <w:pPr>
              <w:widowControl w:val="0"/>
              <w:jc w:val="both"/>
              <w:rPr>
                <w:rFonts w:ascii="Times New Roman" w:hAnsi="Times New Roman"/>
              </w:rPr>
            </w:pPr>
            <w:r w:rsidRPr="005D5CE2">
              <w:rPr>
                <w:rFonts w:ascii="Times New Roman" w:hAnsi="Times New Roman"/>
              </w:rPr>
              <w:t>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фізична особа, яка підписала тендерну пропозицію, до кримінальної відповідальності не притягується, не знятої чи не погашеної</w:t>
            </w:r>
            <w:r w:rsidR="00E53563">
              <w:rPr>
                <w:rFonts w:ascii="Times New Roman" w:hAnsi="Times New Roman"/>
              </w:rPr>
              <w:t xml:space="preserve"> </w:t>
            </w:r>
            <w:r w:rsidRPr="005D5CE2">
              <w:rPr>
                <w:rFonts w:ascii="Times New Roman" w:hAnsi="Times New Roman"/>
              </w:rPr>
              <w:t xml:space="preserve">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 не більше </w:t>
            </w:r>
            <w:proofErr w:type="spellStart"/>
            <w:r w:rsidRPr="005D5CE2">
              <w:rPr>
                <w:rFonts w:ascii="Times New Roman" w:hAnsi="Times New Roman"/>
              </w:rPr>
              <w:t>тридцятиденної</w:t>
            </w:r>
            <w:proofErr w:type="spellEnd"/>
            <w:r w:rsidRPr="005D5CE2">
              <w:rPr>
                <w:rFonts w:ascii="Times New Roman" w:hAnsi="Times New Roman"/>
              </w:rPr>
              <w:t xml:space="preserve"> давнини від дати подання документа. Додатково замовник може перевірити дану інформацію на офіційному сайті МВС за посиланням http://vytiah.mvs.gov.ua/app/landing.</w:t>
            </w:r>
          </w:p>
        </w:tc>
      </w:tr>
      <w:tr w:rsidR="005D5CE2" w:rsidRPr="005D5CE2" w14:paraId="5DD9A885" w14:textId="77777777" w:rsidTr="008B399C">
        <w:tc>
          <w:tcPr>
            <w:tcW w:w="5386" w:type="dxa"/>
          </w:tcPr>
          <w:p w14:paraId="7EDE25E4" w14:textId="77777777" w:rsidR="005D5CE2" w:rsidRPr="005D5CE2" w:rsidRDefault="005D5CE2" w:rsidP="005D5CE2">
            <w:pPr>
              <w:widowControl w:val="0"/>
              <w:jc w:val="both"/>
              <w:rPr>
                <w:rFonts w:ascii="Times New Roman" w:hAnsi="Times New Roman"/>
              </w:rPr>
            </w:pPr>
            <w:r w:rsidRPr="005D5CE2">
              <w:rPr>
                <w:rFonts w:ascii="Times New Roman" w:hAnsi="Times New Roman"/>
              </w:rPr>
              <w:t xml:space="preserve">Службова (посадова) особа учасника процедури закупівлі, яка підписала </w:t>
            </w:r>
            <w:proofErr w:type="spellStart"/>
            <w:r w:rsidRPr="005D5CE2">
              <w:rPr>
                <w:rFonts w:ascii="Times New Roman" w:hAnsi="Times New Roman"/>
              </w:rPr>
              <w:t>тендернупропозицію</w:t>
            </w:r>
            <w:proofErr w:type="spellEnd"/>
            <w:r w:rsidRPr="005D5CE2">
              <w:rPr>
                <w:rFonts w:ascii="Times New Roman" w:hAnsi="Times New Roman"/>
              </w:rPr>
              <w:t xml:space="preserve">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5D5CE2">
              <w:rPr>
                <w:rFonts w:ascii="Times New Roman" w:hAnsi="Times New Roman"/>
              </w:rPr>
              <w:lastRenderedPageBreak/>
              <w:t xml:space="preserve">шахрайством та відмиванням коштів), судимість з якої не знято або не погашено у встановленому законом порядку. </w:t>
            </w:r>
          </w:p>
          <w:p w14:paraId="2B60900B" w14:textId="77777777" w:rsidR="005D5CE2" w:rsidRPr="005D5CE2" w:rsidRDefault="005D5CE2" w:rsidP="005D5CE2">
            <w:pPr>
              <w:widowControl w:val="0"/>
              <w:jc w:val="both"/>
              <w:rPr>
                <w:rFonts w:ascii="Times New Roman" w:hAnsi="Times New Roman"/>
                <w:b/>
              </w:rPr>
            </w:pPr>
            <w:r w:rsidRPr="005D5CE2">
              <w:rPr>
                <w:rFonts w:ascii="Times New Roman" w:hAnsi="Times New Roman"/>
                <w:b/>
              </w:rPr>
              <w:t>(пункт 6 частини 1 статті 17 Закону)</w:t>
            </w:r>
          </w:p>
        </w:tc>
        <w:tc>
          <w:tcPr>
            <w:tcW w:w="5529" w:type="dxa"/>
          </w:tcPr>
          <w:p w14:paraId="3282C559" w14:textId="77777777" w:rsidR="005D5CE2" w:rsidRPr="005D5CE2" w:rsidRDefault="005D5CE2" w:rsidP="005D5CE2">
            <w:pPr>
              <w:widowControl w:val="0"/>
              <w:jc w:val="both"/>
              <w:rPr>
                <w:rFonts w:ascii="Times New Roman" w:hAnsi="Times New Roman"/>
              </w:rPr>
            </w:pPr>
            <w:r w:rsidRPr="005D5CE2">
              <w:rPr>
                <w:rFonts w:ascii="Times New Roman" w:hAnsi="Times New Roman"/>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службова (посадова) особа переможця процедури закупівлі, яка підписала тендерну пропозицію, до кримінальної </w:t>
            </w:r>
            <w:r w:rsidRPr="005D5CE2">
              <w:rPr>
                <w:rFonts w:ascii="Times New Roman" w:hAnsi="Times New Roman"/>
              </w:rPr>
              <w:lastRenderedPageBreak/>
              <w:t xml:space="preserve">відповідальності не притягується, не знятої чи не </w:t>
            </w:r>
            <w:proofErr w:type="spellStart"/>
            <w:r w:rsidRPr="005D5CE2">
              <w:rPr>
                <w:rFonts w:ascii="Times New Roman" w:hAnsi="Times New Roman"/>
              </w:rPr>
              <w:t>погашеноїсудимості</w:t>
            </w:r>
            <w:proofErr w:type="spellEnd"/>
            <w:r w:rsidRPr="005D5CE2">
              <w:rPr>
                <w:rFonts w:ascii="Times New Roman" w:hAnsi="Times New Roman"/>
              </w:rPr>
              <w:t xml:space="preserve">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 не більше </w:t>
            </w:r>
            <w:proofErr w:type="spellStart"/>
            <w:r w:rsidRPr="005D5CE2">
              <w:rPr>
                <w:rFonts w:ascii="Times New Roman" w:hAnsi="Times New Roman"/>
              </w:rPr>
              <w:t>тридцятиденної</w:t>
            </w:r>
            <w:proofErr w:type="spellEnd"/>
            <w:r w:rsidRPr="005D5CE2">
              <w:rPr>
                <w:rFonts w:ascii="Times New Roman" w:hAnsi="Times New Roman"/>
              </w:rPr>
              <w:t xml:space="preserve"> давнини від дати подання документа. Додатково замовник може перевірити дану інформацію на офіційному сайті МВС за посиланням http://vytiah.mvs.gov.ua/app/landing.</w:t>
            </w:r>
          </w:p>
        </w:tc>
      </w:tr>
      <w:tr w:rsidR="005D5CE2" w:rsidRPr="005D5CE2" w14:paraId="19BE3ACF" w14:textId="77777777" w:rsidTr="008B399C">
        <w:tc>
          <w:tcPr>
            <w:tcW w:w="5386" w:type="dxa"/>
          </w:tcPr>
          <w:p w14:paraId="0222D135" w14:textId="77777777" w:rsidR="005D5CE2" w:rsidRPr="005D5CE2" w:rsidRDefault="005D5CE2" w:rsidP="005D5CE2">
            <w:pPr>
              <w:widowControl w:val="0"/>
              <w:jc w:val="both"/>
              <w:rPr>
                <w:rFonts w:ascii="Times New Roman" w:hAnsi="Times New Roman"/>
              </w:rPr>
            </w:pPr>
            <w:r w:rsidRPr="005D5CE2">
              <w:rPr>
                <w:rFonts w:ascii="Times New Roman" w:hAnsi="Times New Roman"/>
              </w:rPr>
              <w:lastRenderedPageBreak/>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CC09E65" w14:textId="77777777" w:rsidR="005D5CE2" w:rsidRPr="005D5CE2" w:rsidRDefault="005D5CE2" w:rsidP="005D5CE2">
            <w:pPr>
              <w:widowControl w:val="0"/>
              <w:jc w:val="both"/>
              <w:rPr>
                <w:rFonts w:ascii="Times New Roman" w:hAnsi="Times New Roman"/>
                <w:b/>
              </w:rPr>
            </w:pPr>
            <w:r w:rsidRPr="005D5CE2">
              <w:rPr>
                <w:rFonts w:ascii="Times New Roman" w:hAnsi="Times New Roman"/>
                <w:b/>
              </w:rPr>
              <w:t>(пункт 12 частини 1 статті 17 Закону)</w:t>
            </w:r>
          </w:p>
        </w:tc>
        <w:tc>
          <w:tcPr>
            <w:tcW w:w="5529" w:type="dxa"/>
          </w:tcPr>
          <w:p w14:paraId="54894EC0" w14:textId="77777777" w:rsidR="005D5CE2" w:rsidRPr="005D5CE2" w:rsidRDefault="005D5CE2" w:rsidP="005D5CE2">
            <w:pPr>
              <w:widowControl w:val="0"/>
              <w:jc w:val="both"/>
              <w:rPr>
                <w:rFonts w:ascii="Times New Roman" w:hAnsi="Times New Roman"/>
              </w:rPr>
            </w:pPr>
            <w:r w:rsidRPr="005D5CE2">
              <w:rPr>
                <w:rFonts w:ascii="Times New Roman" w:hAnsi="Times New Roman"/>
                <w:b/>
              </w:rPr>
              <w:t xml:space="preserve"> 1.</w:t>
            </w:r>
            <w:r w:rsidRPr="005D5CE2">
              <w:rPr>
                <w:rFonts w:ascii="Times New Roman" w:hAnsi="Times New Roman"/>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w:t>
            </w:r>
            <w:proofErr w:type="spellStart"/>
            <w:r w:rsidRPr="005D5CE2">
              <w:rPr>
                <w:rFonts w:ascii="Times New Roman" w:hAnsi="Times New Roman"/>
              </w:rPr>
              <w:t>погашеноїсудимості</w:t>
            </w:r>
            <w:proofErr w:type="spellEnd"/>
            <w:r w:rsidRPr="005D5CE2">
              <w:rPr>
                <w:rFonts w:ascii="Times New Roman" w:hAnsi="Times New Roman"/>
              </w:rPr>
              <w:t xml:space="preserve">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 не більше </w:t>
            </w:r>
            <w:proofErr w:type="spellStart"/>
            <w:r w:rsidRPr="005D5CE2">
              <w:rPr>
                <w:rFonts w:ascii="Times New Roman" w:hAnsi="Times New Roman"/>
              </w:rPr>
              <w:t>тридцятиденної</w:t>
            </w:r>
            <w:proofErr w:type="spellEnd"/>
            <w:r w:rsidRPr="005D5CE2">
              <w:rPr>
                <w:rFonts w:ascii="Times New Roman" w:hAnsi="Times New Roman"/>
              </w:rPr>
              <w:t xml:space="preserve"> давнини від дати подання документа. Додатково замовник може перевірити дану інформацію на офіційному сайті МВС за посиланням </w:t>
            </w:r>
            <w:hyperlink r:id="rId6" w:history="1">
              <w:r w:rsidRPr="005D5CE2">
                <w:rPr>
                  <w:rFonts w:ascii="Times New Roman" w:hAnsi="Times New Roman"/>
                  <w:color w:val="0000FF"/>
                  <w:u w:val="single"/>
                </w:rPr>
                <w:t>http://vytiah.mvs.gov.ua/app/landing</w:t>
              </w:r>
            </w:hyperlink>
            <w:r w:rsidRPr="005D5CE2">
              <w:rPr>
                <w:rFonts w:ascii="Times New Roman" w:hAnsi="Times New Roman"/>
              </w:rPr>
              <w:t xml:space="preserve">. </w:t>
            </w:r>
          </w:p>
          <w:p w14:paraId="329F0637" w14:textId="77777777" w:rsidR="005D5CE2" w:rsidRPr="005D5CE2" w:rsidRDefault="005D5CE2" w:rsidP="005D5CE2">
            <w:pPr>
              <w:widowControl w:val="0"/>
              <w:jc w:val="both"/>
              <w:rPr>
                <w:rFonts w:ascii="Times New Roman" w:hAnsi="Times New Roman"/>
              </w:rPr>
            </w:pPr>
            <w:r w:rsidRPr="005D5CE2">
              <w:rPr>
                <w:rFonts w:ascii="Times New Roman" w:hAnsi="Times New Roman"/>
                <w:b/>
              </w:rPr>
              <w:t>2.</w:t>
            </w:r>
            <w:r w:rsidRPr="005D5CE2">
              <w:rPr>
                <w:rFonts w:ascii="Times New Roman" w:hAnsi="Times New Roman"/>
              </w:rPr>
              <w:t xml:space="preserve"> 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w:t>
            </w:r>
            <w:proofErr w:type="spellStart"/>
            <w:r w:rsidRPr="005D5CE2">
              <w:rPr>
                <w:rFonts w:ascii="Times New Roman" w:hAnsi="Times New Roman"/>
              </w:rPr>
              <w:t>якимиформами</w:t>
            </w:r>
            <w:proofErr w:type="spellEnd"/>
            <w:r w:rsidRPr="005D5CE2">
              <w:rPr>
                <w:rFonts w:ascii="Times New Roman" w:hAnsi="Times New Roman"/>
              </w:rPr>
              <w:t xml:space="preserve"> торгівлі людьми.</w:t>
            </w:r>
          </w:p>
        </w:tc>
      </w:tr>
    </w:tbl>
    <w:p w14:paraId="0C01732E" w14:textId="77777777" w:rsidR="00823EEC" w:rsidRPr="00412264" w:rsidRDefault="00823EEC" w:rsidP="00412264"/>
    <w:sectPr w:rsidR="00823EEC" w:rsidRPr="0041226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B833" w14:textId="77777777" w:rsidR="0083259C" w:rsidRDefault="0083259C" w:rsidP="00412264">
      <w:r>
        <w:separator/>
      </w:r>
    </w:p>
  </w:endnote>
  <w:endnote w:type="continuationSeparator" w:id="0">
    <w:p w14:paraId="48A0B8E7" w14:textId="77777777" w:rsidR="0083259C" w:rsidRDefault="0083259C" w:rsidP="0041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297094"/>
      <w:docPartObj>
        <w:docPartGallery w:val="Page Numbers (Bottom of Page)"/>
        <w:docPartUnique/>
      </w:docPartObj>
    </w:sdtPr>
    <w:sdtEndPr/>
    <w:sdtContent>
      <w:p w14:paraId="0BC17EF5" w14:textId="5710EF4E" w:rsidR="00412264" w:rsidRDefault="00412264">
        <w:pPr>
          <w:pStyle w:val="a6"/>
          <w:jc w:val="right"/>
        </w:pPr>
        <w:r>
          <w:fldChar w:fldCharType="begin"/>
        </w:r>
        <w:r>
          <w:instrText>PAGE   \* MERGEFORMAT</w:instrText>
        </w:r>
        <w:r>
          <w:fldChar w:fldCharType="separate"/>
        </w:r>
        <w:r w:rsidR="00926689">
          <w:rPr>
            <w:noProof/>
          </w:rPr>
          <w:t>3</w:t>
        </w:r>
        <w:r>
          <w:fldChar w:fldCharType="end"/>
        </w:r>
      </w:p>
    </w:sdtContent>
  </w:sdt>
  <w:p w14:paraId="162F8011" w14:textId="77777777" w:rsidR="00412264" w:rsidRDefault="004122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5532" w14:textId="77777777" w:rsidR="0083259C" w:rsidRDefault="0083259C" w:rsidP="00412264">
      <w:r>
        <w:separator/>
      </w:r>
    </w:p>
  </w:footnote>
  <w:footnote w:type="continuationSeparator" w:id="0">
    <w:p w14:paraId="5FA15F62" w14:textId="77777777" w:rsidR="0083259C" w:rsidRDefault="0083259C" w:rsidP="00412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3F"/>
    <w:rsid w:val="00412264"/>
    <w:rsid w:val="005D5CE2"/>
    <w:rsid w:val="00823EEC"/>
    <w:rsid w:val="0083259C"/>
    <w:rsid w:val="00926689"/>
    <w:rsid w:val="00AC263F"/>
    <w:rsid w:val="00E5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5371"/>
  <w15:chartTrackingRefBased/>
  <w15:docId w15:val="{E744A203-734A-4705-A030-BF12526F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412264"/>
    <w:pPr>
      <w:jc w:val="left"/>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12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2264"/>
    <w:pPr>
      <w:tabs>
        <w:tab w:val="center" w:pos="4677"/>
        <w:tab w:val="right" w:pos="9355"/>
      </w:tabs>
    </w:pPr>
  </w:style>
  <w:style w:type="character" w:customStyle="1" w:styleId="a5">
    <w:name w:val="Верхний колонтитул Знак"/>
    <w:basedOn w:val="a0"/>
    <w:link w:val="a4"/>
    <w:uiPriority w:val="99"/>
    <w:rsid w:val="00412264"/>
  </w:style>
  <w:style w:type="paragraph" w:styleId="a6">
    <w:name w:val="footer"/>
    <w:basedOn w:val="a"/>
    <w:link w:val="a7"/>
    <w:uiPriority w:val="99"/>
    <w:unhideWhenUsed/>
    <w:rsid w:val="00412264"/>
    <w:pPr>
      <w:tabs>
        <w:tab w:val="center" w:pos="4677"/>
        <w:tab w:val="right" w:pos="9355"/>
      </w:tabs>
    </w:pPr>
  </w:style>
  <w:style w:type="character" w:customStyle="1" w:styleId="a7">
    <w:name w:val="Нижний колонтитул Знак"/>
    <w:basedOn w:val="a0"/>
    <w:link w:val="a6"/>
    <w:uiPriority w:val="99"/>
    <w:rsid w:val="00412264"/>
  </w:style>
  <w:style w:type="table" w:customStyle="1" w:styleId="1">
    <w:name w:val="Сетка таблицы1"/>
    <w:basedOn w:val="a1"/>
    <w:next w:val="a3"/>
    <w:uiPriority w:val="59"/>
    <w:rsid w:val="005D5CE2"/>
    <w:pPr>
      <w:jc w:val="left"/>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ytiah.mvs.gov.ua/app/land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Тетяна Руденко</cp:lastModifiedBy>
  <cp:revision>4</cp:revision>
  <dcterms:created xsi:type="dcterms:W3CDTF">2022-12-01T08:58:00Z</dcterms:created>
  <dcterms:modified xsi:type="dcterms:W3CDTF">2022-12-02T06:16:00Z</dcterms:modified>
</cp:coreProperties>
</file>