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  кваліфікаційним критеріям, визначеним у статті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>Про публічні закупівлі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інформація, які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</w:t>
            </w:r>
          </w:p>
        </w:tc>
      </w:tr>
      <w:tr w:rsidR="00C1291E" w:rsidRPr="007334C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.1.1. довідку </w:t>
            </w:r>
            <w:r w:rsidR="006661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довільній формі, з інформацією про виконання  аналогічного (аналогічних) за предметом 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 договору (договорів) (не менше одного договору).</w:t>
            </w:r>
          </w:p>
          <w:p w:rsidR="0048071C" w:rsidRPr="00D122E0" w:rsidRDefault="0048071C" w:rsidP="005D09CB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Аналогічним договором </w:t>
            </w:r>
            <w:r w:rsidR="006D5E9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</w:t>
            </w:r>
            <w:r w:rsidRPr="00D122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розумінні цієї тендерної документації є договір на постачання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аналогічного предмету закупівлі, 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7334C1" w:rsidRP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зазначен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ий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в цій тендерній документації</w:t>
            </w:r>
            <w:r w:rsidR="00520C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,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 саме: 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F16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веб-камер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</w:t>
            </w:r>
            <w:r w:rsidR="007E6CF5" w:rsidRPr="00D028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менше 1 копії договору, зазначеного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ідці,</w:t>
            </w:r>
          </w:p>
          <w:p w:rsidR="00C1291E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.1.3. копії/ю документів/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 виконання не менше ніж одного договору, 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 в наданій Учасником довідці</w:t>
            </w:r>
            <w:r w:rsid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="006661D1" w:rsidRP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(</w:t>
            </w:r>
            <w:r w:rsidR="006661D1" w:rsidRPr="006661D1">
              <w:rPr>
                <w:rFonts w:ascii="Times New Roman" w:hAnsi="Times New Roman" w:cs="Times New Roman"/>
              </w:rPr>
              <w:t>копії видаткових накладних</w:t>
            </w:r>
            <w:r w:rsidR="006661D1" w:rsidRPr="006661D1">
              <w:rPr>
                <w:rFonts w:ascii="Times New Roman" w:hAnsi="Times New Roman" w:cs="Times New Roman"/>
                <w:lang w:val="uk-UA"/>
              </w:rPr>
              <w:t xml:space="preserve"> тощо)</w:t>
            </w:r>
            <w:r w:rsidR="00950507" w:rsidRPr="006661D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:rsidR="006F16DC" w:rsidRPr="006F16DC" w:rsidRDefault="006F16D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F16D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661D1" w:rsidRPr="006661D1" w:rsidRDefault="008A344D" w:rsidP="006F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16DC">
              <w:rPr>
                <w:rFonts w:ascii="Times New Roman" w:hAnsi="Times New Roman" w:cs="Times New Roman"/>
                <w:i/>
                <w:color w:val="000000"/>
                <w:lang w:val="uk-UA"/>
              </w:rPr>
              <w:t>Інформація та документи надаються про повністю виконаний договір, дія якого закінчена.</w:t>
            </w:r>
          </w:p>
        </w:tc>
      </w:tr>
    </w:tbl>
    <w:p w:rsidR="00C1291E" w:rsidRPr="00D122E0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*У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єднання учасників </w:t>
      </w:r>
      <w:proofErr w:type="gramStart"/>
      <w:r w:rsidRPr="00D122E0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єднанням інформації.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503F">
        <w:rPr>
          <w:rFonts w:ascii="Times New Roman" w:eastAsia="Times New Roman" w:hAnsi="Times New Roman" w:cs="Times New Roman"/>
          <w:b/>
        </w:rPr>
        <w:t>Учасник </w:t>
      </w:r>
      <w:r w:rsidRPr="0087503F">
        <w:rPr>
          <w:rFonts w:ascii="Times New Roman" w:eastAsia="Times New Roman" w:hAnsi="Times New Roman" w:cs="Times New Roman"/>
        </w:rPr>
        <w:t xml:space="preserve"> повинен надати </w:t>
      </w:r>
      <w:r w:rsidRPr="0087503F">
        <w:rPr>
          <w:rFonts w:ascii="Times New Roman" w:eastAsia="Times New Roman" w:hAnsi="Times New Roman" w:cs="Times New Roman"/>
          <w:b/>
          <w:i/>
          <w:u w:val="single"/>
        </w:rPr>
        <w:t>довідку у довільній формі</w:t>
      </w:r>
      <w:r w:rsidRPr="0087503F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87503F">
        <w:rPr>
          <w:rFonts w:ascii="Times New Roman" w:eastAsia="Times New Roman" w:hAnsi="Times New Roman" w:cs="Times New Roman"/>
        </w:rPr>
        <w:t>п</w:t>
      </w:r>
      <w:proofErr w:type="gramEnd"/>
      <w:r w:rsidRPr="0087503F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87503F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87503F">
        <w:rPr>
          <w:rFonts w:ascii="Times New Roman" w:eastAsia="Times New Roman" w:hAnsi="Times New Roman" w:cs="Times New Roman"/>
        </w:rPr>
        <w:t>Особливостей.</w:t>
      </w:r>
      <w:r w:rsidRPr="0087503F">
        <w:rPr>
          <w:rFonts w:ascii="Times New Roman" w:eastAsia="Times New Roman" w:hAnsi="Times New Roman" w:cs="Times New Roman"/>
          <w:u w:val="single"/>
        </w:rPr>
        <w:t xml:space="preserve"> </w:t>
      </w:r>
      <w:r w:rsidRPr="00D122E0">
        <w:rPr>
          <w:rFonts w:ascii="Times New Roman" w:eastAsia="Times New Roman" w:hAnsi="Times New Roman" w:cs="Times New Roman"/>
        </w:rPr>
        <w:t>Учасник процедури закупі</w:t>
      </w:r>
      <w:proofErr w:type="gramStart"/>
      <w:r w:rsidRPr="00D122E0">
        <w:rPr>
          <w:rFonts w:ascii="Times New Roman" w:eastAsia="Times New Roman" w:hAnsi="Times New Roman" w:cs="Times New Roman"/>
        </w:rPr>
        <w:t>вл</w:t>
      </w:r>
      <w:proofErr w:type="gramEnd"/>
      <w:r w:rsidRPr="00D122E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122E0">
        <w:rPr>
          <w:rFonts w:ascii="Times New Roman" w:eastAsia="Times New Roman" w:hAnsi="Times New Roman" w:cs="Times New Roman"/>
        </w:rPr>
        <w:t>п</w:t>
      </w:r>
      <w:proofErr w:type="gramEnd"/>
      <w:r w:rsidRPr="00D122E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122E0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D122E0">
        <w:rPr>
          <w:rFonts w:ascii="Times New Roman" w:eastAsia="Times New Roman" w:hAnsi="Times New Roman" w:cs="Times New Roman"/>
          <w:i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i/>
        </w:rPr>
        <w:t xml:space="preserve"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</w:t>
      </w:r>
      <w:r w:rsidRPr="00D122E0">
        <w:rPr>
          <w:rFonts w:ascii="Times New Roman" w:eastAsia="Times New Roman" w:hAnsi="Times New Roman" w:cs="Times New Roman"/>
          <w:i/>
        </w:rPr>
        <w:lastRenderedPageBreak/>
        <w:t>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D122E0">
        <w:rPr>
          <w:rFonts w:ascii="Times New Roman" w:eastAsia="Times New Roman" w:hAnsi="Times New Roman" w:cs="Times New Roman"/>
          <w:b/>
        </w:rPr>
        <w:t>визначеним у 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 47 Особливостей: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r w:rsidRPr="0087503F">
        <w:rPr>
          <w:rFonts w:ascii="Times New Roman" w:eastAsia="Times New Roman" w:hAnsi="Times New Roman" w:cs="Times New Roman"/>
          <w:highlight w:val="white"/>
        </w:rPr>
        <w:t xml:space="preserve"> процедури 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не перевищує чотири дні</w:t>
      </w:r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Pr="00D122E0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п. 47 Особливостей</w:t>
            </w:r>
          </w:p>
          <w:p w:rsidR="00C1291E" w:rsidRPr="00D122E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7334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2C19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2C19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521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D122E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Pr="00434A04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E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щодо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</w:t>
            </w:r>
          </w:p>
          <w:p w:rsidR="00FE4CAB" w:rsidRPr="00D122E0" w:rsidRDefault="00FE4CAB" w:rsidP="00E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виданий/ сформований/ отриманий в поточному році</w:t>
            </w:r>
            <w:r w:rsidRPr="00D122E0">
              <w:rPr>
                <w:rFonts w:ascii="Times New Roman" w:eastAsia="Times New Roman" w:hAnsi="Times New Roman" w:cs="Times New Roman"/>
                <w:i/>
              </w:rPr>
              <w:t>. </w:t>
            </w:r>
          </w:p>
          <w:p w:rsidR="00C1291E" w:rsidRPr="00D122E0" w:rsidRDefault="00C1291E" w:rsidP="00221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8D046B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51E7" w:rsidRPr="00D122E0" w:rsidTr="00F83D76">
        <w:trPr>
          <w:trHeight w:val="50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E534A5" w:rsidP="00B9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пункту 47 Особливостей</w:t>
            </w:r>
          </w:p>
          <w:p w:rsidR="00C1291E" w:rsidRPr="00D122E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 на виконання вимоги згідно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 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7334C1" w:rsidTr="00344BEB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47 Особливостей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977D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977D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12.03.2022р. № 263, яка застосовується до припинення чи скасування воєнного 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3F31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927B02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BA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D122E0" w:rsidRDefault="00950507" w:rsidP="00BA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4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 фізичної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є учасником процедури закупівлі. </w:t>
            </w:r>
          </w:p>
          <w:p w:rsidR="00B23C15" w:rsidRPr="00434A04" w:rsidRDefault="00B23C15" w:rsidP="004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</w:t>
            </w:r>
            <w:proofErr w:type="gramStart"/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>повинен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виданий/ сформований/ отриманий в поточному році</w:t>
            </w:r>
            <w:r w:rsidRPr="00434A04">
              <w:rPr>
                <w:rFonts w:ascii="Times New Roman" w:eastAsia="Times New Roman" w:hAnsi="Times New Roman" w:cs="Times New Roman"/>
                <w:i/>
              </w:rPr>
              <w:t>. </w:t>
            </w:r>
          </w:p>
          <w:p w:rsidR="00C1291E" w:rsidRPr="00D122E0" w:rsidRDefault="00C1291E" w:rsidP="00B2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91E" w:rsidRPr="00D122E0" w:rsidTr="00FB28D9">
        <w:trPr>
          <w:trHeight w:val="506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B46616" w:rsidP="009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D122E0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1291E" w:rsidRPr="00D122E0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разі наявності в установчих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r w:rsidRPr="00D122E0">
              <w:rPr>
                <w:rFonts w:ascii="Times New Roman" w:hAnsi="Times New Roman" w:cs="Times New Roman"/>
              </w:rPr>
              <w:t>часника певних обмежень (за строком, сумою тощо)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r w:rsidRPr="00D122E0">
              <w:rPr>
                <w:rFonts w:ascii="Times New Roman" w:hAnsi="Times New Roman" w:cs="Times New Roman"/>
              </w:rPr>
              <w:t xml:space="preserve">часник надає документ (рішення,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r w:rsidRPr="00D122E0">
              <w:rPr>
                <w:rFonts w:ascii="Times New Roman" w:hAnsi="Times New Roman" w:cs="Times New Roman"/>
              </w:rPr>
              <w:t xml:space="preserve">дозвіл тощо), який підтверджує повноваження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>на підписання документів, що входять до складу тендерної пропозиції та договору за результатами закупівлі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 інформація у вигляді довідки довільної форми,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адається лише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1291E" w:rsidRPr="007334C1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>Копія витягу 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7334C1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бенефіціарного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бенефіціарного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бенефіціарного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- 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01067" w:rsidRPr="00653AE5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D40948" w:rsidRDefault="00B01067" w:rsidP="00CB2DE1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0948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 Гарантійний лист від учасника наступного змісту: «</w:t>
            </w:r>
            <w:r w:rsidRPr="00D40948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</w:tc>
      </w:tr>
      <w:tr w:rsidR="00B01067" w:rsidRPr="007334C1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6D5E9C" w:rsidRDefault="00B01067" w:rsidP="00493F88">
            <w:pPr>
              <w:spacing w:after="0" w:line="240" w:lineRule="auto"/>
              <w:ind w:left="126" w:hanging="126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D40948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 Гарантійний лист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, складений в довільній формі, в якому учасник гарантує, що товар </w:t>
            </w:r>
            <w:r w:rsidR="00CB2DE1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за предметом закупівлі, запропонований учасником у складі пропозиції, 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не ввезений та не буде ввезений на митну територію України в митному режимі імпорту товарів з Російської Федерації/ Республіки Білорусь/ </w:t>
            </w:r>
            <w:r w:rsidRPr="00D40948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>.</w:t>
            </w:r>
          </w:p>
        </w:tc>
      </w:tr>
      <w:tr w:rsidR="00B01067" w:rsidRPr="007334C1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B01067" w:rsidRPr="00D122E0" w:rsidRDefault="00B01067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B01067" w:rsidRPr="00D122E0" w:rsidRDefault="00B01067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34CCD"/>
    <w:rsid w:val="00046F84"/>
    <w:rsid w:val="00062194"/>
    <w:rsid w:val="00063F60"/>
    <w:rsid w:val="000719C0"/>
    <w:rsid w:val="0007316E"/>
    <w:rsid w:val="00077693"/>
    <w:rsid w:val="000A7753"/>
    <w:rsid w:val="000B0FE3"/>
    <w:rsid w:val="000D2AF1"/>
    <w:rsid w:val="000D2E3C"/>
    <w:rsid w:val="000D46CA"/>
    <w:rsid w:val="001111AA"/>
    <w:rsid w:val="0011155F"/>
    <w:rsid w:val="00131826"/>
    <w:rsid w:val="001340E9"/>
    <w:rsid w:val="00151C61"/>
    <w:rsid w:val="001526AE"/>
    <w:rsid w:val="00162126"/>
    <w:rsid w:val="001739D5"/>
    <w:rsid w:val="00187038"/>
    <w:rsid w:val="00192D52"/>
    <w:rsid w:val="001A063D"/>
    <w:rsid w:val="001C26D0"/>
    <w:rsid w:val="001F0F5F"/>
    <w:rsid w:val="001F49FB"/>
    <w:rsid w:val="001F78DB"/>
    <w:rsid w:val="00216475"/>
    <w:rsid w:val="0022117C"/>
    <w:rsid w:val="0022224F"/>
    <w:rsid w:val="00240242"/>
    <w:rsid w:val="002B3C93"/>
    <w:rsid w:val="002C19D3"/>
    <w:rsid w:val="002C274A"/>
    <w:rsid w:val="002D1B8A"/>
    <w:rsid w:val="002F5C21"/>
    <w:rsid w:val="00344BEB"/>
    <w:rsid w:val="00382DA2"/>
    <w:rsid w:val="00383EC8"/>
    <w:rsid w:val="00387941"/>
    <w:rsid w:val="003A49F0"/>
    <w:rsid w:val="003B194C"/>
    <w:rsid w:val="003C4768"/>
    <w:rsid w:val="003C50A5"/>
    <w:rsid w:val="003D173F"/>
    <w:rsid w:val="003E7C96"/>
    <w:rsid w:val="003F3155"/>
    <w:rsid w:val="00425A9C"/>
    <w:rsid w:val="00434A04"/>
    <w:rsid w:val="00444D82"/>
    <w:rsid w:val="00445EF8"/>
    <w:rsid w:val="00450415"/>
    <w:rsid w:val="00452C61"/>
    <w:rsid w:val="00457BBB"/>
    <w:rsid w:val="00463393"/>
    <w:rsid w:val="0048071C"/>
    <w:rsid w:val="004874E6"/>
    <w:rsid w:val="00487AE9"/>
    <w:rsid w:val="00492318"/>
    <w:rsid w:val="00493F88"/>
    <w:rsid w:val="004E3957"/>
    <w:rsid w:val="004E557A"/>
    <w:rsid w:val="004F643A"/>
    <w:rsid w:val="00510673"/>
    <w:rsid w:val="00520CCF"/>
    <w:rsid w:val="00521873"/>
    <w:rsid w:val="00522839"/>
    <w:rsid w:val="00525D3B"/>
    <w:rsid w:val="005322F1"/>
    <w:rsid w:val="005323E3"/>
    <w:rsid w:val="00577C0D"/>
    <w:rsid w:val="0058286A"/>
    <w:rsid w:val="00592E35"/>
    <w:rsid w:val="005A0001"/>
    <w:rsid w:val="005B3839"/>
    <w:rsid w:val="005D09CB"/>
    <w:rsid w:val="005F3C1F"/>
    <w:rsid w:val="005F7F6A"/>
    <w:rsid w:val="006237F6"/>
    <w:rsid w:val="006267EF"/>
    <w:rsid w:val="0063264A"/>
    <w:rsid w:val="00642E7E"/>
    <w:rsid w:val="006525E2"/>
    <w:rsid w:val="00653AE5"/>
    <w:rsid w:val="006661D1"/>
    <w:rsid w:val="006723B5"/>
    <w:rsid w:val="006774A0"/>
    <w:rsid w:val="0068431E"/>
    <w:rsid w:val="00684C77"/>
    <w:rsid w:val="006A0170"/>
    <w:rsid w:val="006D1B19"/>
    <w:rsid w:val="006D30AD"/>
    <w:rsid w:val="006D5E9C"/>
    <w:rsid w:val="006F16DC"/>
    <w:rsid w:val="00700FE2"/>
    <w:rsid w:val="007154F1"/>
    <w:rsid w:val="007272CD"/>
    <w:rsid w:val="007334C1"/>
    <w:rsid w:val="007768F3"/>
    <w:rsid w:val="007838A0"/>
    <w:rsid w:val="007B0FE3"/>
    <w:rsid w:val="007B2B98"/>
    <w:rsid w:val="007B7DA2"/>
    <w:rsid w:val="007B7DFA"/>
    <w:rsid w:val="007C12B2"/>
    <w:rsid w:val="007E04F1"/>
    <w:rsid w:val="007E1E3D"/>
    <w:rsid w:val="007E6CF5"/>
    <w:rsid w:val="00807B24"/>
    <w:rsid w:val="0081300D"/>
    <w:rsid w:val="008135B4"/>
    <w:rsid w:val="00821468"/>
    <w:rsid w:val="00827AEF"/>
    <w:rsid w:val="00852EAE"/>
    <w:rsid w:val="0087443B"/>
    <w:rsid w:val="0087454A"/>
    <w:rsid w:val="0087503F"/>
    <w:rsid w:val="00885531"/>
    <w:rsid w:val="00891B7D"/>
    <w:rsid w:val="00893772"/>
    <w:rsid w:val="008A344D"/>
    <w:rsid w:val="008A3D8F"/>
    <w:rsid w:val="008B7BAB"/>
    <w:rsid w:val="008C620F"/>
    <w:rsid w:val="008C64B2"/>
    <w:rsid w:val="008D046B"/>
    <w:rsid w:val="008E51E7"/>
    <w:rsid w:val="008F619E"/>
    <w:rsid w:val="00920DA2"/>
    <w:rsid w:val="00927B02"/>
    <w:rsid w:val="00943434"/>
    <w:rsid w:val="0094491C"/>
    <w:rsid w:val="00950507"/>
    <w:rsid w:val="00975C05"/>
    <w:rsid w:val="0097618E"/>
    <w:rsid w:val="00977D45"/>
    <w:rsid w:val="00980F17"/>
    <w:rsid w:val="00992D2D"/>
    <w:rsid w:val="009A1258"/>
    <w:rsid w:val="009C3515"/>
    <w:rsid w:val="009E3233"/>
    <w:rsid w:val="009F5B91"/>
    <w:rsid w:val="00A10ABE"/>
    <w:rsid w:val="00A12DA1"/>
    <w:rsid w:val="00A36234"/>
    <w:rsid w:val="00A4015C"/>
    <w:rsid w:val="00A413AB"/>
    <w:rsid w:val="00A45980"/>
    <w:rsid w:val="00A502D8"/>
    <w:rsid w:val="00A7272A"/>
    <w:rsid w:val="00A8605D"/>
    <w:rsid w:val="00A9191B"/>
    <w:rsid w:val="00A96B07"/>
    <w:rsid w:val="00AA47E3"/>
    <w:rsid w:val="00AA6276"/>
    <w:rsid w:val="00AB1DD8"/>
    <w:rsid w:val="00AB7E04"/>
    <w:rsid w:val="00AD7B02"/>
    <w:rsid w:val="00AF25E2"/>
    <w:rsid w:val="00AF56E0"/>
    <w:rsid w:val="00B01067"/>
    <w:rsid w:val="00B164B5"/>
    <w:rsid w:val="00B23C15"/>
    <w:rsid w:val="00B30A38"/>
    <w:rsid w:val="00B31C2D"/>
    <w:rsid w:val="00B4661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92E40"/>
    <w:rsid w:val="00BA122D"/>
    <w:rsid w:val="00BA3511"/>
    <w:rsid w:val="00BB30D7"/>
    <w:rsid w:val="00BB75C5"/>
    <w:rsid w:val="00C1291E"/>
    <w:rsid w:val="00C3488F"/>
    <w:rsid w:val="00C37EAA"/>
    <w:rsid w:val="00C55BDA"/>
    <w:rsid w:val="00C70E8E"/>
    <w:rsid w:val="00CA533C"/>
    <w:rsid w:val="00CA67EE"/>
    <w:rsid w:val="00CB235F"/>
    <w:rsid w:val="00CB2DE1"/>
    <w:rsid w:val="00CB3359"/>
    <w:rsid w:val="00CB761C"/>
    <w:rsid w:val="00CC7374"/>
    <w:rsid w:val="00CD006B"/>
    <w:rsid w:val="00CD3ACC"/>
    <w:rsid w:val="00CD491C"/>
    <w:rsid w:val="00CE1490"/>
    <w:rsid w:val="00CF214C"/>
    <w:rsid w:val="00D0012F"/>
    <w:rsid w:val="00D02856"/>
    <w:rsid w:val="00D10297"/>
    <w:rsid w:val="00D122E0"/>
    <w:rsid w:val="00D1381A"/>
    <w:rsid w:val="00D24C8C"/>
    <w:rsid w:val="00D3010B"/>
    <w:rsid w:val="00D40948"/>
    <w:rsid w:val="00D40B1C"/>
    <w:rsid w:val="00D5294C"/>
    <w:rsid w:val="00D81C8B"/>
    <w:rsid w:val="00DD7F45"/>
    <w:rsid w:val="00E066A5"/>
    <w:rsid w:val="00E316CD"/>
    <w:rsid w:val="00E32B5B"/>
    <w:rsid w:val="00E34347"/>
    <w:rsid w:val="00E534A5"/>
    <w:rsid w:val="00E54D29"/>
    <w:rsid w:val="00E744C3"/>
    <w:rsid w:val="00E81497"/>
    <w:rsid w:val="00ED7708"/>
    <w:rsid w:val="00EE0B6B"/>
    <w:rsid w:val="00EF1A93"/>
    <w:rsid w:val="00F0588C"/>
    <w:rsid w:val="00F16C9B"/>
    <w:rsid w:val="00F177E5"/>
    <w:rsid w:val="00F22DE4"/>
    <w:rsid w:val="00F42C84"/>
    <w:rsid w:val="00F61235"/>
    <w:rsid w:val="00F61982"/>
    <w:rsid w:val="00F656A5"/>
    <w:rsid w:val="00F659FB"/>
    <w:rsid w:val="00F75E36"/>
    <w:rsid w:val="00F80694"/>
    <w:rsid w:val="00F83D76"/>
    <w:rsid w:val="00F842D5"/>
    <w:rsid w:val="00F87D68"/>
    <w:rsid w:val="00F962A1"/>
    <w:rsid w:val="00FA0841"/>
    <w:rsid w:val="00FA77AC"/>
    <w:rsid w:val="00FB28D9"/>
    <w:rsid w:val="00FD2307"/>
    <w:rsid w:val="00FE4CAB"/>
    <w:rsid w:val="00FF3C38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11726</Words>
  <Characters>6685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225</cp:revision>
  <cp:lastPrinted>2023-05-25T11:51:00Z</cp:lastPrinted>
  <dcterms:created xsi:type="dcterms:W3CDTF">2023-06-16T11:25:00Z</dcterms:created>
  <dcterms:modified xsi:type="dcterms:W3CDTF">2024-03-27T08:18:00Z</dcterms:modified>
</cp:coreProperties>
</file>