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E931" w14:textId="77777777" w:rsidR="00BA4F50" w:rsidRDefault="00000000">
      <w:pPr>
        <w:spacing w:line="240" w:lineRule="auto"/>
        <w:ind w:hanging="2"/>
        <w:jc w:val="right"/>
        <w:rPr>
          <w:b/>
          <w:sz w:val="22"/>
          <w:szCs w:val="22"/>
        </w:rPr>
      </w:pPr>
      <w:r>
        <w:rPr>
          <w:b/>
          <w:sz w:val="22"/>
          <w:szCs w:val="22"/>
        </w:rPr>
        <w:t>Додаток 2</w:t>
      </w:r>
    </w:p>
    <w:p w14:paraId="17660938" w14:textId="77777777" w:rsidR="00BA4F50" w:rsidRDefault="00000000">
      <w:pPr>
        <w:spacing w:line="240" w:lineRule="auto"/>
        <w:ind w:hanging="2"/>
        <w:jc w:val="right"/>
      </w:pPr>
      <w:r>
        <w:rPr>
          <w:sz w:val="22"/>
          <w:szCs w:val="22"/>
        </w:rPr>
        <w:t>до тендерної документації</w:t>
      </w:r>
    </w:p>
    <w:p w14:paraId="407C6C1B" w14:textId="77777777" w:rsidR="00BA4F50" w:rsidRDefault="00BA4F50">
      <w:pPr>
        <w:spacing w:line="240" w:lineRule="auto"/>
        <w:ind w:hanging="2"/>
        <w:jc w:val="center"/>
        <w:rPr>
          <w:b/>
          <w:sz w:val="16"/>
          <w:szCs w:val="16"/>
        </w:rPr>
      </w:pPr>
    </w:p>
    <w:p w14:paraId="004C1B95" w14:textId="77777777" w:rsidR="00BA4F50" w:rsidRDefault="00000000">
      <w:pPr>
        <w:spacing w:line="240" w:lineRule="auto"/>
        <w:ind w:hanging="2"/>
        <w:jc w:val="center"/>
        <w:rPr>
          <w:b/>
        </w:rPr>
      </w:pPr>
      <w:r>
        <w:rPr>
          <w:b/>
        </w:rPr>
        <w:t>Інформація</w:t>
      </w:r>
    </w:p>
    <w:p w14:paraId="02CAD975" w14:textId="77777777" w:rsidR="00BA4F50" w:rsidRDefault="00000000">
      <w:pPr>
        <w:spacing w:line="240" w:lineRule="auto"/>
        <w:ind w:hanging="2"/>
        <w:jc w:val="center"/>
        <w:rPr>
          <w:b/>
        </w:rPr>
      </w:pPr>
      <w:r>
        <w:rPr>
          <w:b/>
        </w:rPr>
        <w:t>про необхідні технічні, якісні та кількісні характеристики предмета закупівлі</w:t>
      </w:r>
    </w:p>
    <w:p w14:paraId="3B050511" w14:textId="77777777" w:rsidR="00BA4F50" w:rsidRDefault="00BA4F50">
      <w:pPr>
        <w:spacing w:line="240" w:lineRule="auto"/>
        <w:ind w:hanging="2"/>
        <w:jc w:val="center"/>
        <w:rPr>
          <w:b/>
          <w:sz w:val="16"/>
          <w:szCs w:val="16"/>
        </w:rPr>
      </w:pPr>
    </w:p>
    <w:p w14:paraId="4AA041CB" w14:textId="77777777" w:rsidR="00BA4F50" w:rsidRDefault="00000000">
      <w:pPr>
        <w:spacing w:line="240" w:lineRule="auto"/>
        <w:ind w:hanging="2"/>
        <w:jc w:val="center"/>
        <w:rPr>
          <w:b/>
        </w:rPr>
      </w:pPr>
      <w:r>
        <w:rPr>
          <w:b/>
        </w:rPr>
        <w:t>Найменування предмета закупівлі:</w:t>
      </w:r>
    </w:p>
    <w:p w14:paraId="6A4303CD" w14:textId="055D4804" w:rsidR="00C10E8F" w:rsidRDefault="00000000" w:rsidP="00C10E8F">
      <w:pPr>
        <w:widowControl w:val="0"/>
        <w:autoSpaceDE w:val="0"/>
        <w:ind w:left="1" w:hanging="3"/>
        <w:jc w:val="center"/>
        <w:rPr>
          <w:b/>
          <w:bCs/>
          <w:sz w:val="28"/>
          <w:szCs w:val="28"/>
        </w:rPr>
      </w:pPr>
      <w:r>
        <w:rPr>
          <w:b/>
        </w:rPr>
        <w:t xml:space="preserve">ДК 021:2015: </w:t>
      </w:r>
      <w:r w:rsidRPr="00C10E8F">
        <w:rPr>
          <w:b/>
        </w:rPr>
        <w:t xml:space="preserve">- </w:t>
      </w:r>
      <w:r w:rsidR="00C10E8F" w:rsidRPr="00C10E8F">
        <w:rPr>
          <w:b/>
        </w:rPr>
        <w:t>091</w:t>
      </w:r>
      <w:r w:rsidR="00E47073">
        <w:rPr>
          <w:b/>
        </w:rPr>
        <w:t xml:space="preserve">32000-3 </w:t>
      </w:r>
      <w:r w:rsidR="00C10E8F" w:rsidRPr="00C10E8F">
        <w:rPr>
          <w:b/>
        </w:rPr>
        <w:t xml:space="preserve">– </w:t>
      </w:r>
      <w:bookmarkStart w:id="0" w:name="_Hlk64990620"/>
      <w:r w:rsidR="00E47073">
        <w:rPr>
          <w:b/>
        </w:rPr>
        <w:t>Бензин А-95</w:t>
      </w:r>
    </w:p>
    <w:bookmarkEnd w:id="0"/>
    <w:p w14:paraId="4C98E9C9" w14:textId="1C079334" w:rsidR="00BA4F50" w:rsidRDefault="00BA4F50" w:rsidP="00C10E8F">
      <w:pPr>
        <w:spacing w:line="240" w:lineRule="auto"/>
        <w:ind w:hanging="2"/>
        <w:jc w:val="center"/>
      </w:pPr>
    </w:p>
    <w:p w14:paraId="214D9DB6" w14:textId="77777777" w:rsidR="00BA4F50" w:rsidRDefault="00000000">
      <w:pPr>
        <w:spacing w:before="240" w:after="240"/>
        <w:ind w:left="-2" w:right="-80" w:firstLine="282"/>
        <w:jc w:val="both"/>
        <w:rPr>
          <w:b/>
        </w:rPr>
      </w:pPr>
      <w:r>
        <w:rPr>
          <w:b/>
        </w:rPr>
        <w:t>І. Кількість та опис усіх необхідних характеристик товарів (технічна специфікація)</w:t>
      </w:r>
    </w:p>
    <w:tbl>
      <w:tblPr>
        <w:tblStyle w:val="a7"/>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6"/>
        <w:gridCol w:w="5908"/>
        <w:gridCol w:w="1585"/>
      </w:tblGrid>
      <w:tr w:rsidR="00BA4F50" w14:paraId="400FF398" w14:textId="77777777">
        <w:trPr>
          <w:trHeight w:val="1023"/>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A81E51" w14:textId="77777777" w:rsidR="00BA4F50" w:rsidRDefault="00000000">
            <w:pPr>
              <w:spacing w:line="240" w:lineRule="auto"/>
              <w:ind w:hanging="2"/>
              <w:jc w:val="center"/>
              <w:rPr>
                <w:b/>
              </w:rPr>
            </w:pPr>
            <w:r>
              <w:rPr>
                <w:b/>
              </w:rPr>
              <w:t>Найменування товару, що є предметом закупівлі</w:t>
            </w:r>
          </w:p>
        </w:tc>
        <w:tc>
          <w:tcPr>
            <w:tcW w:w="59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19FE30B" w14:textId="77777777" w:rsidR="00BA4F50" w:rsidRDefault="00000000">
            <w:pPr>
              <w:spacing w:before="240" w:after="240"/>
              <w:ind w:hanging="2"/>
              <w:jc w:val="center"/>
              <w:rPr>
                <w:b/>
              </w:rPr>
            </w:pPr>
            <w:r>
              <w:rPr>
                <w:b/>
              </w:rPr>
              <w:t>Технічні та якісні характеристики товару, що є предметом закупівлі</w:t>
            </w:r>
          </w:p>
        </w:tc>
        <w:tc>
          <w:tcPr>
            <w:tcW w:w="15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DD5D9C3" w14:textId="77777777" w:rsidR="00BA4F50" w:rsidRDefault="00000000">
            <w:pPr>
              <w:spacing w:before="240" w:after="240"/>
              <w:ind w:hanging="2"/>
              <w:jc w:val="center"/>
              <w:rPr>
                <w:b/>
              </w:rPr>
            </w:pPr>
            <w:r>
              <w:rPr>
                <w:b/>
              </w:rPr>
              <w:t>Кількість, літрів</w:t>
            </w:r>
          </w:p>
        </w:tc>
      </w:tr>
      <w:tr w:rsidR="00BA4F50" w14:paraId="0A1578A7" w14:textId="77777777">
        <w:trPr>
          <w:trHeight w:val="604"/>
        </w:trPr>
        <w:tc>
          <w:tcPr>
            <w:tcW w:w="214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F00E6DC" w14:textId="2C0688EE" w:rsidR="00BA4F50" w:rsidRDefault="00E47073">
            <w:pPr>
              <w:ind w:hanging="2"/>
              <w:jc w:val="center"/>
              <w:rPr>
                <w:b/>
              </w:rPr>
            </w:pPr>
            <w:r>
              <w:t>Бензин А-95</w:t>
            </w:r>
          </w:p>
        </w:tc>
        <w:tc>
          <w:tcPr>
            <w:tcW w:w="5908" w:type="dxa"/>
            <w:tcBorders>
              <w:top w:val="nil"/>
              <w:left w:val="nil"/>
              <w:bottom w:val="single" w:sz="6" w:space="0" w:color="000000"/>
              <w:right w:val="single" w:sz="6" w:space="0" w:color="000000"/>
            </w:tcBorders>
            <w:tcMar>
              <w:top w:w="100" w:type="dxa"/>
              <w:left w:w="100" w:type="dxa"/>
              <w:bottom w:w="100" w:type="dxa"/>
              <w:right w:w="100" w:type="dxa"/>
            </w:tcMar>
          </w:tcPr>
          <w:p w14:paraId="78B1F787" w14:textId="77777777" w:rsidR="00E47073" w:rsidRDefault="00E47073" w:rsidP="00E47073">
            <w:pPr>
              <w:ind w:hanging="2"/>
              <w:jc w:val="both"/>
              <w:rPr>
                <w:rFonts w:eastAsia="Calibri"/>
                <w:lang w:eastAsia="en-US"/>
              </w:rPr>
            </w:pPr>
            <w:bookmarkStart w:id="1" w:name="_heading=h.gjdgxs" w:colFirst="0" w:colLast="0"/>
            <w:bookmarkEnd w:id="1"/>
            <w:r>
              <w:rPr>
                <w:rFonts w:eastAsia="Calibri"/>
                <w:lang w:eastAsia="en-US"/>
              </w:rPr>
              <w:t>Б</w:t>
            </w:r>
            <w:r w:rsidRPr="00E47073">
              <w:rPr>
                <w:rFonts w:eastAsia="Calibri"/>
                <w:lang w:eastAsia="en-US"/>
              </w:rPr>
              <w:t>ензин А-95 (за екологічним класом Євро5) по</w:t>
            </w:r>
          </w:p>
          <w:p w14:paraId="20A55B31" w14:textId="37920AB8" w:rsidR="00BA4F50" w:rsidRDefault="00E47073" w:rsidP="00E47073">
            <w:pPr>
              <w:ind w:hanging="2"/>
              <w:jc w:val="both"/>
            </w:pPr>
            <w:r w:rsidRPr="00E47073">
              <w:rPr>
                <w:rFonts w:eastAsia="Calibri"/>
                <w:lang w:eastAsia="en-US"/>
              </w:rPr>
              <w:t>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 із змінами).</w:t>
            </w:r>
          </w:p>
        </w:tc>
        <w:tc>
          <w:tcPr>
            <w:tcW w:w="15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02A83568" w14:textId="530C7723" w:rsidR="00BA4F50" w:rsidRDefault="00E47073">
            <w:pPr>
              <w:spacing w:line="240" w:lineRule="auto"/>
              <w:ind w:hanging="2"/>
              <w:jc w:val="center"/>
            </w:pPr>
            <w:r>
              <w:t>4</w:t>
            </w:r>
            <w:r w:rsidR="00207888">
              <w:t>000</w:t>
            </w:r>
          </w:p>
        </w:tc>
      </w:tr>
    </w:tbl>
    <w:p w14:paraId="74C2560A" w14:textId="77777777" w:rsidR="00BA4F50" w:rsidRPr="00F114A1" w:rsidRDefault="00000000" w:rsidP="00F114A1">
      <w:pPr>
        <w:spacing w:line="240" w:lineRule="auto"/>
        <w:ind w:right="-79" w:firstLine="284"/>
        <w:jc w:val="both"/>
        <w:rPr>
          <w:b/>
          <w:color w:val="000000" w:themeColor="text1"/>
        </w:rPr>
      </w:pPr>
      <w:r w:rsidRPr="00F114A1">
        <w:rPr>
          <w:b/>
          <w:color w:val="000000" w:themeColor="text1"/>
        </w:rPr>
        <w:t>ІІ. Вимоги до постачання товару, що є предметом закупівлі</w:t>
      </w:r>
    </w:p>
    <w:p w14:paraId="770E2F18" w14:textId="77777777" w:rsidR="00F114A1" w:rsidRP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Вимоги до постачання товару, що є предметом закупівлі</w:t>
      </w:r>
      <w:r w:rsidR="00F114A1" w:rsidRPr="00F114A1">
        <w:rPr>
          <w:color w:val="000000"/>
          <w:bdr w:val="none" w:sz="0" w:space="0" w:color="auto" w:frame="1"/>
        </w:rPr>
        <w:t>:</w:t>
      </w:r>
    </w:p>
    <w:p w14:paraId="0A9971A5" w14:textId="743EEB96" w:rsidR="00F114A1" w:rsidRDefault="00F114A1" w:rsidP="00F114A1">
      <w:pPr>
        <w:spacing w:line="240" w:lineRule="auto"/>
        <w:ind w:right="-79" w:firstLine="284"/>
        <w:jc w:val="both"/>
        <w:rPr>
          <w:color w:val="000000"/>
          <w:bdr w:val="none" w:sz="0" w:space="0" w:color="auto" w:frame="1"/>
        </w:rPr>
      </w:pPr>
      <w:r>
        <w:rPr>
          <w:color w:val="000000"/>
          <w:bdr w:val="none" w:sz="0" w:space="0" w:color="auto" w:frame="1"/>
        </w:rPr>
        <w:t xml:space="preserve">2.1. </w:t>
      </w:r>
      <w:r w:rsidR="00731C21" w:rsidRPr="00F114A1">
        <w:rPr>
          <w:color w:val="000000"/>
          <w:bdr w:val="none" w:sz="0" w:space="0" w:color="auto" w:frame="1"/>
        </w:rPr>
        <w:t>Умови поставки: Паливні картки. Паливо переходить у власність Замовника окремими партіями за замовленням Покупця. Учасник за власний рахунок повинен забезпечити передачу паливних карт за місцезнаходженням Замовника</w:t>
      </w:r>
      <w:r>
        <w:rPr>
          <w:color w:val="000000"/>
          <w:bdr w:val="none" w:sz="0" w:space="0" w:color="auto" w:frame="1"/>
        </w:rPr>
        <w:t>.</w:t>
      </w:r>
      <w:r w:rsidR="00731C21" w:rsidRPr="00F114A1">
        <w:rPr>
          <w:color w:val="000000"/>
          <w:bdr w:val="none" w:sz="0" w:space="0" w:color="auto" w:frame="1"/>
        </w:rPr>
        <w:t xml:space="preserve"> Паливо, що перейшло у власність Замовника, зберігається на АЗС учасника до моменту передачі Палива Замовнику. </w:t>
      </w:r>
    </w:p>
    <w:p w14:paraId="71D906D6"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 xml:space="preserve">2.2. Місце передачі Палива: АЗС учасника на відстані не більш ніж </w:t>
      </w:r>
      <w:r w:rsidR="00F114A1">
        <w:rPr>
          <w:color w:val="000000"/>
          <w:bdr w:val="none" w:sz="0" w:space="0" w:color="auto" w:frame="1"/>
        </w:rPr>
        <w:t>2</w:t>
      </w:r>
      <w:r w:rsidRPr="00F114A1">
        <w:rPr>
          <w:color w:val="000000"/>
          <w:bdr w:val="none" w:sz="0" w:space="0" w:color="auto" w:frame="1"/>
        </w:rPr>
        <w:t xml:space="preserve"> (</w:t>
      </w:r>
      <w:r w:rsidR="00F114A1">
        <w:rPr>
          <w:color w:val="000000"/>
          <w:bdr w:val="none" w:sz="0" w:space="0" w:color="auto" w:frame="1"/>
        </w:rPr>
        <w:t>два</w:t>
      </w:r>
      <w:r w:rsidRPr="00F114A1">
        <w:rPr>
          <w:color w:val="000000"/>
          <w:bdr w:val="none" w:sz="0" w:space="0" w:color="auto" w:frame="1"/>
        </w:rPr>
        <w:t>) кілометр</w:t>
      </w:r>
      <w:r w:rsidR="00F114A1">
        <w:rPr>
          <w:color w:val="000000"/>
          <w:bdr w:val="none" w:sz="0" w:space="0" w:color="auto" w:frame="1"/>
        </w:rPr>
        <w:t>и</w:t>
      </w:r>
      <w:r w:rsidRPr="00F114A1">
        <w:rPr>
          <w:color w:val="000000"/>
          <w:bdr w:val="none" w:sz="0" w:space="0" w:color="auto" w:frame="1"/>
        </w:rPr>
        <w:t xml:space="preserve"> від місцезнаходження Замовника. </w:t>
      </w:r>
    </w:p>
    <w:p w14:paraId="04FD087D" w14:textId="78370573" w:rsidR="00731C21" w:rsidRP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2.3. Строк дії паливних карток: не менше 12 місяців з дати укладення договору</w:t>
      </w:r>
    </w:p>
    <w:p w14:paraId="7F9617C8" w14:textId="6F357B95"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4</w:t>
      </w:r>
      <w:r w:rsidRPr="00F114A1">
        <w:rPr>
          <w:color w:val="000000"/>
          <w:bdr w:val="none" w:sz="0" w:space="0" w:color="auto" w:frame="1"/>
        </w:rPr>
        <w:t>. Учасник зобов’язується постачати якісн</w:t>
      </w:r>
      <w:r w:rsidR="00A4400D">
        <w:rPr>
          <w:color w:val="000000"/>
          <w:bdr w:val="none" w:sz="0" w:space="0" w:color="auto" w:frame="1"/>
        </w:rPr>
        <w:t>ий</w:t>
      </w:r>
      <w:r w:rsidRPr="00F114A1">
        <w:rPr>
          <w:color w:val="000000"/>
          <w:bdr w:val="none" w:sz="0" w:space="0" w:color="auto" w:frame="1"/>
        </w:rPr>
        <w:t xml:space="preserve"> </w:t>
      </w:r>
      <w:r w:rsidR="00A4400D">
        <w:rPr>
          <w:color w:val="000000"/>
          <w:bdr w:val="none" w:sz="0" w:space="0" w:color="auto" w:frame="1"/>
        </w:rPr>
        <w:t>бензин А-95</w:t>
      </w:r>
      <w:r w:rsidRPr="00F114A1">
        <w:rPr>
          <w:color w:val="000000"/>
          <w:bdr w:val="none" w:sz="0" w:space="0" w:color="auto" w:frame="1"/>
        </w:rPr>
        <w:t xml:space="preserve"> відповідно до сезону згідно ДСТУ. </w:t>
      </w:r>
    </w:p>
    <w:p w14:paraId="01C870E0"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5</w:t>
      </w:r>
      <w:r w:rsidRPr="00F114A1">
        <w:rPr>
          <w:color w:val="000000"/>
          <w:bdr w:val="none" w:sz="0" w:space="0" w:color="auto" w:frame="1"/>
        </w:rPr>
        <w:t xml:space="preserve">. Учасник повинен забезпечити облік та обслуговування карткової системи видачі палива у літровому вимірі з добовим та/або місячним режимом лімітування по кожному автотранспортному засобу, визначеному Замовником. Для забезпечення паливом автотранспорту Замовника, Учасник надає Замовнику у володіння паливні картки та забезпечує їх подальше обслуговування, облік (у тому числі програмно-апаратним шляхом) та можливість отримання автотранспортом Замовника палива на підставі паливних карток у визначених лімітах. </w:t>
      </w:r>
    </w:p>
    <w:p w14:paraId="5CDFEFCA"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6</w:t>
      </w:r>
      <w:r w:rsidRPr="00F114A1">
        <w:rPr>
          <w:color w:val="000000"/>
          <w:bdr w:val="none" w:sz="0" w:space="0" w:color="auto" w:frame="1"/>
        </w:rPr>
        <w:t xml:space="preserve">. Учасник процедури закупівлі зобов’язується в строк до 5 (п’яти) робочих днів з дня укладення договору передати уповноваженому представнику Замовника за адресами місцезнаходження філій, паливні картки в кількості зазначеній у заявці замовника. </w:t>
      </w:r>
    </w:p>
    <w:p w14:paraId="3EE7F5FF"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7</w:t>
      </w:r>
      <w:r w:rsidRPr="00F114A1">
        <w:rPr>
          <w:color w:val="000000"/>
          <w:bdr w:val="none" w:sz="0" w:space="0" w:color="auto" w:frame="1"/>
        </w:rPr>
        <w:t xml:space="preserve">. Перерозподіл загального нарахованого обсягу товару із особового рахунка Замовника на видані паливні картки здійснюється самостійно Замовником за допомогою відповідного програмного забезпечення або перерозподіляється учасником на підставі письмового звернення Замовника. </w:t>
      </w:r>
    </w:p>
    <w:p w14:paraId="362CAFFB"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8</w:t>
      </w:r>
      <w:r w:rsidRPr="00F114A1">
        <w:rPr>
          <w:color w:val="000000"/>
          <w:bdr w:val="none" w:sz="0" w:space="0" w:color="auto" w:frame="1"/>
        </w:rPr>
        <w:t xml:space="preserve">. Учасник має забезпечити можливість користування Замовником програмним забезпеченням, яке дозволяє вести облік отриманого палива: а) в цілому Замовником; б) за кожним автотранспортним засобом Замовника. Також, за допомогою програмного забезпечення Замовник повинен мати можливість самостійно регулювати ліміти (добові чи </w:t>
      </w:r>
      <w:r w:rsidRPr="00F114A1">
        <w:rPr>
          <w:color w:val="000000"/>
          <w:bdr w:val="none" w:sz="0" w:space="0" w:color="auto" w:frame="1"/>
        </w:rPr>
        <w:lastRenderedPageBreak/>
        <w:t>місячні) отримання палива кожним автотранспортним засобом та/або змінювати обсяг нарахованого палива за кожною паливною карткою в межах загального обсягу закупленого палива.</w:t>
      </w:r>
    </w:p>
    <w:p w14:paraId="2AE30A48"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 xml:space="preserve"> 2.</w:t>
      </w:r>
      <w:r w:rsidR="00F114A1">
        <w:rPr>
          <w:color w:val="000000"/>
          <w:bdr w:val="none" w:sz="0" w:space="0" w:color="auto" w:frame="1"/>
        </w:rPr>
        <w:t>9</w:t>
      </w:r>
      <w:r w:rsidRPr="00F114A1">
        <w:rPr>
          <w:color w:val="000000"/>
          <w:bdr w:val="none" w:sz="0" w:space="0" w:color="auto" w:frame="1"/>
        </w:rPr>
        <w:t xml:space="preserve">. В учасника має бути наявна програмно-технічна підтримка, яка включає в себе можливість надання </w:t>
      </w:r>
      <w:proofErr w:type="spellStart"/>
      <w:r w:rsidRPr="00F114A1">
        <w:rPr>
          <w:color w:val="000000"/>
          <w:bdr w:val="none" w:sz="0" w:space="0" w:color="auto" w:frame="1"/>
        </w:rPr>
        <w:t>покарткового</w:t>
      </w:r>
      <w:proofErr w:type="spellEnd"/>
      <w:r w:rsidRPr="00F114A1">
        <w:rPr>
          <w:color w:val="000000"/>
          <w:bdr w:val="none" w:sz="0" w:space="0" w:color="auto" w:frame="1"/>
        </w:rPr>
        <w:t xml:space="preserve"> звіту використання палива за кожен день, тиждень, місяць, здійснення внутрішнього контролю та наявність в учасника цілодобової телефонної лінії підтримки та відповідного Інтернет-ресурсу, в якому можливо створення особистого кабінету Замовника. </w:t>
      </w:r>
    </w:p>
    <w:p w14:paraId="59D1F749"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2.1</w:t>
      </w:r>
      <w:r w:rsidR="00F114A1">
        <w:rPr>
          <w:color w:val="000000"/>
          <w:bdr w:val="none" w:sz="0" w:space="0" w:color="auto" w:frame="1"/>
        </w:rPr>
        <w:t>0</w:t>
      </w:r>
      <w:r w:rsidRPr="00F114A1">
        <w:rPr>
          <w:color w:val="000000"/>
          <w:bdr w:val="none" w:sz="0" w:space="0" w:color="auto" w:frame="1"/>
        </w:rPr>
        <w:t xml:space="preserve">. Учасник відповідно до потреб Замовника повинен </w:t>
      </w:r>
      <w:proofErr w:type="spellStart"/>
      <w:r w:rsidRPr="00F114A1">
        <w:rPr>
          <w:color w:val="000000"/>
          <w:bdr w:val="none" w:sz="0" w:space="0" w:color="auto" w:frame="1"/>
        </w:rPr>
        <w:t>оперативно</w:t>
      </w:r>
      <w:proofErr w:type="spellEnd"/>
      <w:r w:rsidRPr="00F114A1">
        <w:rPr>
          <w:color w:val="000000"/>
          <w:bdr w:val="none" w:sz="0" w:space="0" w:color="auto" w:frame="1"/>
        </w:rPr>
        <w:t xml:space="preserve"> (протягом 2 робочих днів після звернення Замовника) здійснювати видачу нових паливних карток та/або перепрограмування діючих. У випадку втрати паливної картки учасник протягом 8 годин після повідомлення від Замовника здійснює блокування відповідної паливної картки. </w:t>
      </w:r>
    </w:p>
    <w:p w14:paraId="4B19D454" w14:textId="4DE2613B" w:rsidR="00731C21" w:rsidRPr="00F114A1" w:rsidRDefault="00731C21" w:rsidP="00F114A1">
      <w:pPr>
        <w:spacing w:line="240" w:lineRule="auto"/>
        <w:ind w:right="-79" w:firstLine="284"/>
        <w:jc w:val="both"/>
        <w:rPr>
          <w:b/>
          <w:color w:val="FF0000"/>
        </w:rPr>
      </w:pPr>
      <w:r w:rsidRPr="00F114A1">
        <w:rPr>
          <w:color w:val="000000"/>
          <w:bdr w:val="none" w:sz="0" w:space="0" w:color="auto" w:frame="1"/>
        </w:rPr>
        <w:t>2.1</w:t>
      </w:r>
      <w:r w:rsidR="00F114A1">
        <w:rPr>
          <w:color w:val="000000"/>
          <w:bdr w:val="none" w:sz="0" w:space="0" w:color="auto" w:frame="1"/>
        </w:rPr>
        <w:t>1</w:t>
      </w:r>
      <w:r w:rsidRPr="00F114A1">
        <w:rPr>
          <w:color w:val="000000"/>
          <w:bdr w:val="none" w:sz="0" w:space="0" w:color="auto" w:frame="1"/>
        </w:rPr>
        <w:t>. Постачання товару, що є предметом закупівлі здійснюється відповідно до умов договору, проект якого викладено у Додатку до цього оголошення.</w:t>
      </w:r>
    </w:p>
    <w:p w14:paraId="5166076E" w14:textId="77777777" w:rsidR="00F114A1" w:rsidRDefault="00F114A1">
      <w:pPr>
        <w:spacing w:line="240" w:lineRule="auto"/>
        <w:ind w:left="-2" w:firstLine="282"/>
        <w:jc w:val="both"/>
        <w:rPr>
          <w:b/>
        </w:rPr>
      </w:pPr>
    </w:p>
    <w:p w14:paraId="3608C794" w14:textId="5237DDCE" w:rsidR="00BA4F50" w:rsidRDefault="00000000" w:rsidP="00F114A1">
      <w:pPr>
        <w:spacing w:line="240" w:lineRule="auto"/>
        <w:ind w:left="-2" w:firstLine="282"/>
        <w:jc w:val="both"/>
        <w:rPr>
          <w:b/>
        </w:rPr>
      </w:pPr>
      <w:r>
        <w:rPr>
          <w:b/>
        </w:rPr>
        <w:t>ІІІ. Вимоги до підготовки тендерної пропозиції учасником</w:t>
      </w:r>
    </w:p>
    <w:p w14:paraId="09DD3756" w14:textId="69A5FFCA" w:rsidR="00BA4F50" w:rsidRDefault="00000000">
      <w:pPr>
        <w:pBdr>
          <w:top w:val="nil"/>
          <w:left w:val="nil"/>
          <w:bottom w:val="nil"/>
          <w:right w:val="nil"/>
          <w:between w:val="nil"/>
        </w:pBdr>
        <w:spacing w:line="240" w:lineRule="auto"/>
        <w:ind w:firstLine="284"/>
        <w:jc w:val="both"/>
        <w:rPr>
          <w:color w:val="000000"/>
        </w:rPr>
      </w:pPr>
      <w:r>
        <w:rPr>
          <w:color w:val="000000"/>
        </w:rPr>
        <w:t>3.1. На підтвердження відповідності запропонованого товару технічним, якісним та кількісним характеристикам предмета закупівлі, у тому числі всім фізико-хімічним показникам товару, що встановлені ДСТУ 768</w:t>
      </w:r>
      <w:r w:rsidR="00A4400D">
        <w:rPr>
          <w:color w:val="000000"/>
        </w:rPr>
        <w:t>7</w:t>
      </w:r>
      <w:r>
        <w:rPr>
          <w:color w:val="000000"/>
        </w:rPr>
        <w:t>:2015, у складі своєї тендерної пропозиції учасник повинен надати:</w:t>
      </w:r>
    </w:p>
    <w:p w14:paraId="06A09C10" w14:textId="77777777" w:rsidR="00BA4F50" w:rsidRDefault="00000000">
      <w:pPr>
        <w:pBdr>
          <w:top w:val="nil"/>
          <w:left w:val="nil"/>
          <w:bottom w:val="nil"/>
          <w:right w:val="nil"/>
          <w:between w:val="nil"/>
        </w:pBdr>
        <w:spacing w:line="240" w:lineRule="auto"/>
        <w:ind w:firstLine="284"/>
        <w:jc w:val="both"/>
        <w:rPr>
          <w:color w:val="000000"/>
        </w:rPr>
      </w:pPr>
      <w:r>
        <w:rPr>
          <w:color w:val="000000"/>
        </w:rPr>
        <w:t>3.1.1. довідку довільної форми, якою підтверджується можливість учасника здійснити поставку товару, що є предметом закупівлі з урахуванням вимог, наведених у цьому Додатку;</w:t>
      </w:r>
    </w:p>
    <w:p w14:paraId="5A8FBFAB" w14:textId="77777777" w:rsidR="00BA4F50" w:rsidRDefault="00000000">
      <w:pPr>
        <w:spacing w:line="240" w:lineRule="auto"/>
        <w:ind w:firstLine="283"/>
        <w:jc w:val="both"/>
      </w:pPr>
      <w:r>
        <w:t>3.1.2. копії сертифікатів відповідності виданих призначеним органом з оцінки відповідності на товар, що є предметом закупівлі та пропонується до постачання, чинних на дату подання тендерної пропозиції;</w:t>
      </w:r>
    </w:p>
    <w:p w14:paraId="57B8E341" w14:textId="77777777" w:rsidR="00BA4F50" w:rsidRDefault="00000000">
      <w:pPr>
        <w:spacing w:line="240" w:lineRule="auto"/>
        <w:ind w:firstLine="283"/>
        <w:jc w:val="both"/>
      </w:pPr>
      <w:r>
        <w:t>3.1.3. копії паспортів якості на товар, що є предметом закупівлі та пропонується до постачання, за якими на дату подання тендерної пропозиції не сплинув гарантійний термін зберігання товару, та які мають містити посилання на номер сертифікату відповідності наданого учасником у складі тендерної пропозиції відповідно до вимог пункту 3.1.2. Розділу ІІІ цього Додатку;</w:t>
      </w:r>
    </w:p>
    <w:p w14:paraId="6AF3102C" w14:textId="26241325" w:rsidR="00BA4F50" w:rsidRDefault="00000000">
      <w:pPr>
        <w:spacing w:line="240" w:lineRule="auto"/>
        <w:ind w:firstLine="283"/>
        <w:jc w:val="both"/>
      </w:pPr>
      <w:r>
        <w:t xml:space="preserve">3.1.4. копію протоколу випробувань щодо відповідності продукції вимогам </w:t>
      </w:r>
      <w:r w:rsidR="00A4400D" w:rsidRPr="00A4400D">
        <w:rPr>
          <w:rFonts w:eastAsia="Calibri"/>
          <w:lang w:eastAsia="en-US"/>
        </w:rPr>
        <w:t xml:space="preserve">ДСТУ 7687:2015 «Бензини автомобільні Євро. Технічні умови» </w:t>
      </w:r>
      <w:r>
        <w:t xml:space="preserve"> (проведений за фізико-хімічним показниками у повному обсязі, зокрема на паливо дизельне літнє), що пропонується учасником до постачання. При цьому, фактично отримані результати випробувань мають відповідати результатам випробувань зазначених у паспорті якості виробника, який надано у складі тендерної пропозиції відповідно до вимог пункту 3.1.3. Розділу ІІІ цього Додатку. </w:t>
      </w:r>
    </w:p>
    <w:p w14:paraId="09C066D7" w14:textId="5918BC02" w:rsidR="00BA4F50" w:rsidRDefault="00000000">
      <w:pPr>
        <w:spacing w:line="240" w:lineRule="auto"/>
        <w:ind w:firstLine="283"/>
        <w:jc w:val="both"/>
      </w:pPr>
      <w:r>
        <w:t xml:space="preserve">3.1.5. Гарантійний лист від учасника, що при поставці товару в осінньо-зимовий період замовнику буде надано протокол випробувань щодо відповідності продукції вимогам </w:t>
      </w:r>
      <w:r w:rsidR="00A4400D" w:rsidRPr="00A4400D">
        <w:rPr>
          <w:rFonts w:eastAsia="Calibri"/>
          <w:lang w:eastAsia="en-US"/>
        </w:rPr>
        <w:t xml:space="preserve">ДСТУ 7687:2015 «Бензини автомобільні Євро. Технічні умови» </w:t>
      </w:r>
      <w:r>
        <w:t xml:space="preserve">(проведений за фізико-хімічним показниками у повному обсязі, зокрема на паливо дизельне зимове). </w:t>
      </w:r>
    </w:p>
    <w:p w14:paraId="35360D83" w14:textId="2F3BADEC" w:rsidR="00BA4F50" w:rsidRPr="00731C21" w:rsidRDefault="00000000">
      <w:pPr>
        <w:spacing w:line="240" w:lineRule="auto"/>
        <w:ind w:firstLine="283"/>
        <w:jc w:val="both"/>
      </w:pPr>
      <w:r>
        <w:t xml:space="preserve">3.1.6. </w:t>
      </w:r>
      <w:r w:rsidR="00A4400D">
        <w:t>Д</w:t>
      </w:r>
      <w:r>
        <w:t>овідку довільної форми, якою підтверджується, що запропонований учасником товар виготовлений не раніше 2023 року, відповідає ДСТУ 768</w:t>
      </w:r>
      <w:r w:rsidR="00A4400D">
        <w:t>7</w:t>
      </w:r>
      <w:r>
        <w:t>:2015 та гарантія здійснення поставки продукції відповідно до сезону та кліматичних умов згідно ДСТУ 768</w:t>
      </w:r>
      <w:r w:rsidR="00A4400D">
        <w:t>7</w:t>
      </w:r>
      <w:r>
        <w:t>:2015.</w:t>
      </w:r>
    </w:p>
    <w:p w14:paraId="75B13866" w14:textId="77777777" w:rsidR="00BA4F50" w:rsidRDefault="00000000">
      <w:pPr>
        <w:spacing w:line="240" w:lineRule="auto"/>
        <w:ind w:left="-2" w:firstLine="283"/>
        <w:jc w:val="both"/>
      </w:pPr>
      <w:r>
        <w:t>3.2. 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14:paraId="2ACD8AC8" w14:textId="77777777" w:rsidR="00BA4F50" w:rsidRDefault="00000000">
      <w:pPr>
        <w:spacing w:line="240" w:lineRule="auto"/>
        <w:ind w:left="-2" w:firstLine="283"/>
        <w:jc w:val="both"/>
      </w:pPr>
      <w:r>
        <w:t>3.3. 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14:paraId="2A51D986" w14:textId="18FD0816" w:rsidR="00BA4F50" w:rsidRDefault="00000000">
      <w:pPr>
        <w:spacing w:line="240" w:lineRule="auto"/>
        <w:ind w:left="-2" w:firstLine="283"/>
        <w:jc w:val="both"/>
      </w:pPr>
      <w:r>
        <w:lastRenderedPageBreak/>
        <w:t>3.4. 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відповідатимуть</w:t>
      </w:r>
      <w:r w:rsidR="00A4400D">
        <w:t xml:space="preserve"> </w:t>
      </w:r>
      <w:r w:rsidR="00A4400D" w:rsidRPr="00A4400D">
        <w:rPr>
          <w:rFonts w:eastAsia="Calibri"/>
          <w:lang w:eastAsia="en-US"/>
        </w:rPr>
        <w:t>ДСТУ 7687:2015 «Бензини автомобільні Євро. Технічні умови»</w:t>
      </w:r>
      <w:r>
        <w:t>.</w:t>
      </w:r>
    </w:p>
    <w:sectPr w:rsidR="00BA4F5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50"/>
    <w:rsid w:val="00207888"/>
    <w:rsid w:val="00731C21"/>
    <w:rsid w:val="00A4400D"/>
    <w:rsid w:val="00AB5FAD"/>
    <w:rsid w:val="00BA4F50"/>
    <w:rsid w:val="00C10E8F"/>
    <w:rsid w:val="00E47073"/>
    <w:rsid w:val="00F11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7117"/>
  <w15:docId w15:val="{0D2AB1CC-3A97-4330-8A4E-57DC7C31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1R2uYio10CPO/uA2Ue/xaGGX2w==">CgMxLjAyCGguZ2pkZ3hzOAByITF6S2FRdGtiSmJYcTJRd2RTN0xQYi05M2FIVzNtalBPVA==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4507</Words>
  <Characters>2569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Віталіївна Мельник</dc:creator>
  <cp:lastModifiedBy>User</cp:lastModifiedBy>
  <cp:revision>9</cp:revision>
  <dcterms:created xsi:type="dcterms:W3CDTF">2023-08-14T12:25:00Z</dcterms:created>
  <dcterms:modified xsi:type="dcterms:W3CDTF">2024-01-03T15:07:00Z</dcterms:modified>
</cp:coreProperties>
</file>