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471835">
        <w:rPr>
          <w:rFonts w:ascii="Times New Roman" w:hAnsi="Times New Roman" w:cs="Times New Roman"/>
          <w:b/>
          <w:sz w:val="24"/>
          <w:szCs w:val="24"/>
          <w:lang w:val="uk-UA"/>
        </w:rPr>
        <w:t>Подяки на дошці з логотипом</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471835">
        <w:rPr>
          <w:rFonts w:ascii="Times New Roman" w:hAnsi="Times New Roman" w:cs="Times New Roman"/>
          <w:b/>
          <w:sz w:val="24"/>
          <w:szCs w:val="24"/>
          <w:lang w:val="uk-UA"/>
        </w:rPr>
        <w:t>39290000</w:t>
      </w:r>
      <w:r w:rsidR="0002346A" w:rsidRPr="000C1F45">
        <w:rPr>
          <w:rFonts w:ascii="Times New Roman" w:hAnsi="Times New Roman" w:cs="Times New Roman"/>
          <w:b/>
          <w:sz w:val="24"/>
          <w:szCs w:val="24"/>
        </w:rPr>
        <w:t>-</w:t>
      </w:r>
      <w:r w:rsidR="00471835">
        <w:rPr>
          <w:rFonts w:ascii="Times New Roman" w:hAnsi="Times New Roman" w:cs="Times New Roman"/>
          <w:b/>
          <w:sz w:val="24"/>
          <w:szCs w:val="24"/>
          <w:lang w:val="uk-UA"/>
        </w:rPr>
        <w:t>1</w:t>
      </w:r>
      <w:r w:rsidR="0002346A" w:rsidRPr="000C1F45">
        <w:rPr>
          <w:rFonts w:ascii="Times New Roman" w:hAnsi="Times New Roman" w:cs="Times New Roman"/>
          <w:b/>
          <w:sz w:val="24"/>
          <w:szCs w:val="24"/>
        </w:rPr>
        <w:t xml:space="preserve"> – </w:t>
      </w:r>
      <w:r w:rsidR="00471835">
        <w:rPr>
          <w:rFonts w:ascii="Times New Roman" w:hAnsi="Times New Roman" w:cs="Times New Roman"/>
          <w:b/>
          <w:sz w:val="24"/>
          <w:szCs w:val="24"/>
          <w:lang w:val="uk-UA"/>
        </w:rPr>
        <w:t>(Фурнітура різна</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655DF4">
        <w:rPr>
          <w:rFonts w:ascii="Times New Roman" w:hAnsi="Times New Roman" w:cs="Times New Roman"/>
          <w:sz w:val="24"/>
          <w:szCs w:val="24"/>
          <w:lang w:val="uk-UA"/>
        </w:rPr>
        <w:t>20</w:t>
      </w:r>
      <w:r w:rsidR="0066027B" w:rsidRPr="00D35CAB">
        <w:rPr>
          <w:rFonts w:ascii="Times New Roman" w:hAnsi="Times New Roman" w:cs="Times New Roman"/>
          <w:sz w:val="24"/>
          <w:szCs w:val="24"/>
          <w:lang w:val="uk-UA"/>
        </w:rPr>
        <w:t>.</w:t>
      </w:r>
      <w:r w:rsidR="00655DF4">
        <w:rPr>
          <w:rFonts w:ascii="Times New Roman" w:hAnsi="Times New Roman" w:cs="Times New Roman"/>
          <w:sz w:val="24"/>
          <w:szCs w:val="24"/>
          <w:lang w:val="uk-UA"/>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471835">
      <w:pPr>
        <w:pStyle w:val="a7"/>
        <w:numPr>
          <w:ilvl w:val="0"/>
          <w:numId w:val="6"/>
        </w:numPr>
        <w:tabs>
          <w:tab w:val="left" w:pos="284"/>
        </w:tabs>
        <w:suppressAutoHyphens/>
        <w:spacing w:line="240" w:lineRule="auto"/>
        <w:ind w:left="0" w:firstLine="709"/>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471835" w:rsidRPr="00471835" w:rsidRDefault="00F56D59" w:rsidP="00471835">
      <w:pPr>
        <w:tabs>
          <w:tab w:val="left" w:pos="284"/>
        </w:tabs>
        <w:suppressAutoHyphens/>
        <w:spacing w:line="240" w:lineRule="auto"/>
        <w:ind w:firstLine="709"/>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471835">
        <w:rPr>
          <w:rFonts w:ascii="Times New Roman" w:hAnsi="Times New Roman" w:cs="Times New Roman"/>
          <w:sz w:val="24"/>
          <w:szCs w:val="24"/>
          <w:lang w:val="uk-UA"/>
        </w:rPr>
        <w:t>104</w:t>
      </w:r>
      <w:r w:rsidR="002C10A0">
        <w:rPr>
          <w:rFonts w:ascii="Times New Roman" w:hAnsi="Times New Roman" w:cs="Times New Roman"/>
          <w:sz w:val="24"/>
          <w:szCs w:val="24"/>
          <w:lang w:val="uk-UA"/>
        </w:rPr>
        <w:t xml:space="preserve"> </w:t>
      </w:r>
      <w:r w:rsidR="000119B2" w:rsidRPr="000C1F45">
        <w:rPr>
          <w:rFonts w:ascii="Times New Roman" w:hAnsi="Times New Roman" w:cs="Times New Roman"/>
          <w:sz w:val="24"/>
          <w:szCs w:val="24"/>
          <w:lang w:val="uk-UA"/>
        </w:rPr>
        <w:t>(</w:t>
      </w:r>
      <w:r w:rsidR="00471835">
        <w:rPr>
          <w:rFonts w:ascii="Times New Roman" w:hAnsi="Times New Roman" w:cs="Times New Roman"/>
          <w:sz w:val="24"/>
          <w:szCs w:val="24"/>
          <w:lang w:val="uk-UA"/>
        </w:rPr>
        <w:t>сто чотири</w:t>
      </w:r>
      <w:r w:rsidR="00F46DB8" w:rsidRPr="000C1F45">
        <w:rPr>
          <w:rFonts w:ascii="Times New Roman" w:hAnsi="Times New Roman" w:cs="Times New Roman"/>
          <w:sz w:val="24"/>
          <w:szCs w:val="24"/>
          <w:lang w:val="uk-UA"/>
        </w:rPr>
        <w:t>) штук</w:t>
      </w:r>
      <w:r w:rsidR="00471835">
        <w:rPr>
          <w:rFonts w:ascii="Times New Roman" w:hAnsi="Times New Roman" w:cs="Times New Roman"/>
          <w:sz w:val="24"/>
          <w:szCs w:val="24"/>
          <w:lang w:val="uk-UA"/>
        </w:rPr>
        <w:t>и</w:t>
      </w:r>
      <w:r w:rsidR="00F46DB8" w:rsidRPr="000C1F45">
        <w:rPr>
          <w:rFonts w:ascii="Times New Roman" w:hAnsi="Times New Roman" w:cs="Times New Roman"/>
          <w:sz w:val="24"/>
          <w:szCs w:val="24"/>
          <w:lang w:val="uk-UA"/>
        </w:rPr>
        <w:t>.</w:t>
      </w:r>
    </w:p>
    <w:p w:rsidR="000119B2" w:rsidRPr="00C67335" w:rsidRDefault="000119B2" w:rsidP="00471835">
      <w:pPr>
        <w:tabs>
          <w:tab w:val="left" w:pos="284"/>
        </w:tabs>
        <w:suppressAutoHyphens/>
        <w:spacing w:line="240" w:lineRule="auto"/>
        <w:ind w:firstLine="709"/>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E2499">
      <w:pPr>
        <w:tabs>
          <w:tab w:val="left" w:pos="0"/>
        </w:tabs>
        <w:suppressAutoHyphens/>
        <w:spacing w:line="240" w:lineRule="auto"/>
        <w:ind w:firstLine="709"/>
        <w:jc w:val="both"/>
        <w:rPr>
          <w:rFonts w:ascii="Times New Roman" w:hAnsi="Times New Roman" w:cs="Times New Roman"/>
          <w:sz w:val="24"/>
          <w:szCs w:val="24"/>
          <w:lang w:val="uk-UA"/>
        </w:rPr>
      </w:pPr>
      <w:bookmarkStart w:id="0" w:name="_GoBack"/>
      <w:bookmarkEnd w:id="0"/>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471835" w:rsidRDefault="00F56D59" w:rsidP="00471835">
      <w:pPr>
        <w:pStyle w:val="a7"/>
        <w:numPr>
          <w:ilvl w:val="0"/>
          <w:numId w:val="6"/>
        </w:numPr>
        <w:tabs>
          <w:tab w:val="left" w:pos="284"/>
        </w:tabs>
        <w:suppressAutoHyphens/>
        <w:spacing w:line="240" w:lineRule="auto"/>
        <w:ind w:left="0" w:firstLine="709"/>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A67318">
        <w:rPr>
          <w:rFonts w:ascii="Times New Roman" w:hAnsi="Times New Roman" w:cs="Times New Roman"/>
          <w:b/>
          <w:sz w:val="24"/>
          <w:szCs w:val="24"/>
          <w:lang w:val="uk-UA"/>
        </w:rPr>
        <w:t>20.12</w:t>
      </w:r>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471835" w:rsidRDefault="00471835" w:rsidP="00471835">
      <w:pPr>
        <w:pStyle w:val="a7"/>
        <w:tabs>
          <w:tab w:val="left" w:pos="284"/>
        </w:tabs>
        <w:suppressAutoHyphens/>
        <w:spacing w:line="240" w:lineRule="auto"/>
        <w:ind w:left="0" w:firstLine="709"/>
        <w:jc w:val="center"/>
        <w:rPr>
          <w:rFonts w:ascii="Times New Roman" w:hAnsi="Times New Roman" w:cs="Times New Roman"/>
          <w:b/>
          <w:sz w:val="24"/>
          <w:szCs w:val="24"/>
          <w:lang w:val="uk-UA"/>
        </w:rPr>
      </w:pPr>
    </w:p>
    <w:p w:rsidR="00471835" w:rsidRDefault="00471835" w:rsidP="00471835">
      <w:pPr>
        <w:pStyle w:val="a7"/>
        <w:tabs>
          <w:tab w:val="left" w:pos="284"/>
        </w:tabs>
        <w:suppressAutoHyphens/>
        <w:spacing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Технічні характеристики:</w:t>
      </w:r>
    </w:p>
    <w:p w:rsidR="00471835" w:rsidRDefault="00471835" w:rsidP="00471835">
      <w:pPr>
        <w:pStyle w:val="a7"/>
        <w:tabs>
          <w:tab w:val="left" w:pos="0"/>
        </w:tabs>
        <w:suppressAutoHyphens/>
        <w:spacing w:line="240" w:lineRule="auto"/>
        <w:ind w:left="0" w:firstLine="709"/>
        <w:jc w:val="both"/>
        <w:rPr>
          <w:rFonts w:ascii="Times New Roman" w:hAnsi="Times New Roman" w:cs="Times New Roman"/>
          <w:sz w:val="24"/>
          <w:szCs w:val="24"/>
          <w:lang w:val="uk-UA"/>
        </w:rPr>
      </w:pPr>
      <w:r w:rsidRPr="00471835">
        <w:rPr>
          <w:rFonts w:ascii="Times New Roman" w:hAnsi="Times New Roman" w:cs="Times New Roman"/>
          <w:sz w:val="24"/>
          <w:szCs w:val="24"/>
        </w:rPr>
        <w:t xml:space="preserve">Плакетка (основа) </w:t>
      </w:r>
      <w:proofErr w:type="spellStart"/>
      <w:r w:rsidRPr="00471835">
        <w:rPr>
          <w:rFonts w:ascii="Times New Roman" w:hAnsi="Times New Roman" w:cs="Times New Roman"/>
          <w:sz w:val="24"/>
          <w:szCs w:val="24"/>
        </w:rPr>
        <w:t>виконується</w:t>
      </w:r>
      <w:proofErr w:type="spellEnd"/>
      <w:r w:rsidRPr="00471835">
        <w:rPr>
          <w:rFonts w:ascii="Times New Roman" w:hAnsi="Times New Roman" w:cs="Times New Roman"/>
          <w:sz w:val="24"/>
          <w:szCs w:val="24"/>
        </w:rPr>
        <w:t xml:space="preserve"> з ДВП (</w:t>
      </w:r>
      <w:proofErr w:type="spellStart"/>
      <w:r w:rsidRPr="00471835">
        <w:rPr>
          <w:rFonts w:ascii="Times New Roman" w:hAnsi="Times New Roman" w:cs="Times New Roman"/>
          <w:sz w:val="24"/>
          <w:szCs w:val="24"/>
        </w:rPr>
        <w:t>деревоволокниста</w:t>
      </w:r>
      <w:proofErr w:type="spellEnd"/>
      <w:r w:rsidRPr="00471835">
        <w:rPr>
          <w:rFonts w:ascii="Times New Roman" w:hAnsi="Times New Roman" w:cs="Times New Roman"/>
          <w:sz w:val="24"/>
          <w:szCs w:val="24"/>
        </w:rPr>
        <w:t xml:space="preserve"> плита) </w:t>
      </w:r>
      <w:proofErr w:type="spellStart"/>
      <w:r w:rsidRPr="00471835">
        <w:rPr>
          <w:rFonts w:ascii="Times New Roman" w:hAnsi="Times New Roman" w:cs="Times New Roman"/>
          <w:sz w:val="24"/>
          <w:szCs w:val="24"/>
        </w:rPr>
        <w:t>середньої</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щільності</w:t>
      </w:r>
      <w:proofErr w:type="spellEnd"/>
      <w:r w:rsidRPr="00471835">
        <w:rPr>
          <w:rFonts w:ascii="Times New Roman" w:hAnsi="Times New Roman" w:cs="Times New Roman"/>
          <w:sz w:val="24"/>
          <w:szCs w:val="24"/>
        </w:rPr>
        <w:t xml:space="preserve"> з </w:t>
      </w:r>
      <w:proofErr w:type="spellStart"/>
      <w:r w:rsidRPr="00471835">
        <w:rPr>
          <w:rFonts w:ascii="Times New Roman" w:hAnsi="Times New Roman" w:cs="Times New Roman"/>
          <w:sz w:val="24"/>
          <w:szCs w:val="24"/>
        </w:rPr>
        <w:t>ламінацією</w:t>
      </w:r>
      <w:proofErr w:type="spellEnd"/>
      <w:r w:rsidRPr="00471835">
        <w:rPr>
          <w:rFonts w:ascii="Times New Roman" w:hAnsi="Times New Roman" w:cs="Times New Roman"/>
          <w:sz w:val="24"/>
          <w:szCs w:val="24"/>
        </w:rPr>
        <w:t xml:space="preserve"> темно-коричневого </w:t>
      </w:r>
      <w:proofErr w:type="spellStart"/>
      <w:r w:rsidRPr="00471835">
        <w:rPr>
          <w:rFonts w:ascii="Times New Roman" w:hAnsi="Times New Roman" w:cs="Times New Roman"/>
          <w:sz w:val="24"/>
          <w:szCs w:val="24"/>
        </w:rPr>
        <w:t>кольору</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Розмір</w:t>
      </w:r>
      <w:proofErr w:type="spellEnd"/>
      <w:r w:rsidRPr="00471835">
        <w:rPr>
          <w:rFonts w:ascii="Times New Roman" w:hAnsi="Times New Roman" w:cs="Times New Roman"/>
          <w:sz w:val="24"/>
          <w:szCs w:val="24"/>
        </w:rPr>
        <w:t>: 220х18х300 мм (</w:t>
      </w:r>
      <w:proofErr w:type="spellStart"/>
      <w:r w:rsidRPr="00471835">
        <w:rPr>
          <w:rFonts w:ascii="Times New Roman" w:hAnsi="Times New Roman" w:cs="Times New Roman"/>
          <w:sz w:val="24"/>
          <w:szCs w:val="24"/>
        </w:rPr>
        <w:t>ШхГхВ</w:t>
      </w:r>
      <w:proofErr w:type="spellEnd"/>
      <w:r w:rsidRPr="00471835">
        <w:rPr>
          <w:rFonts w:ascii="Times New Roman" w:hAnsi="Times New Roman" w:cs="Times New Roman"/>
          <w:sz w:val="24"/>
          <w:szCs w:val="24"/>
        </w:rPr>
        <w:t xml:space="preserve">). Шильда </w:t>
      </w:r>
      <w:proofErr w:type="spellStart"/>
      <w:r w:rsidRPr="00471835">
        <w:rPr>
          <w:rFonts w:ascii="Times New Roman" w:hAnsi="Times New Roman" w:cs="Times New Roman"/>
          <w:sz w:val="24"/>
          <w:szCs w:val="24"/>
        </w:rPr>
        <w:t>виконується</w:t>
      </w:r>
      <w:proofErr w:type="spellEnd"/>
      <w:r w:rsidRPr="00471835">
        <w:rPr>
          <w:rFonts w:ascii="Times New Roman" w:hAnsi="Times New Roman" w:cs="Times New Roman"/>
          <w:sz w:val="24"/>
          <w:szCs w:val="24"/>
        </w:rPr>
        <w:t xml:space="preserve"> з </w:t>
      </w:r>
      <w:proofErr w:type="spellStart"/>
      <w:r w:rsidRPr="00471835">
        <w:rPr>
          <w:rFonts w:ascii="Times New Roman" w:hAnsi="Times New Roman" w:cs="Times New Roman"/>
          <w:sz w:val="24"/>
          <w:szCs w:val="24"/>
        </w:rPr>
        <w:t>алюмінієвої</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пластини</w:t>
      </w:r>
      <w:proofErr w:type="spellEnd"/>
      <w:r w:rsidRPr="00471835">
        <w:rPr>
          <w:rFonts w:ascii="Times New Roman" w:hAnsi="Times New Roman" w:cs="Times New Roman"/>
          <w:sz w:val="24"/>
          <w:szCs w:val="24"/>
        </w:rPr>
        <w:t xml:space="preserve"> золотого </w:t>
      </w:r>
      <w:proofErr w:type="spellStart"/>
      <w:r w:rsidRPr="00471835">
        <w:rPr>
          <w:rFonts w:ascii="Times New Roman" w:hAnsi="Times New Roman" w:cs="Times New Roman"/>
          <w:sz w:val="24"/>
          <w:szCs w:val="24"/>
        </w:rPr>
        <w:t>кольору</w:t>
      </w:r>
      <w:proofErr w:type="spellEnd"/>
      <w:r w:rsidRPr="00471835">
        <w:rPr>
          <w:rFonts w:ascii="Times New Roman" w:hAnsi="Times New Roman" w:cs="Times New Roman"/>
          <w:sz w:val="24"/>
          <w:szCs w:val="24"/>
        </w:rPr>
        <w:t xml:space="preserve"> </w:t>
      </w:r>
      <w:proofErr w:type="gramStart"/>
      <w:r w:rsidRPr="00471835">
        <w:rPr>
          <w:rFonts w:ascii="Times New Roman" w:hAnsi="Times New Roman" w:cs="Times New Roman"/>
          <w:sz w:val="24"/>
          <w:szCs w:val="24"/>
        </w:rPr>
        <w:t>на яку</w:t>
      </w:r>
      <w:proofErr w:type="gram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передбачене</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нанесення</w:t>
      </w:r>
      <w:proofErr w:type="spellEnd"/>
      <w:r w:rsidRPr="00471835">
        <w:rPr>
          <w:rFonts w:ascii="Times New Roman" w:hAnsi="Times New Roman" w:cs="Times New Roman"/>
          <w:sz w:val="24"/>
          <w:szCs w:val="24"/>
        </w:rPr>
        <w:t xml:space="preserve"> тексту. </w:t>
      </w:r>
      <w:proofErr w:type="spellStart"/>
      <w:r w:rsidRPr="00471835">
        <w:rPr>
          <w:rFonts w:ascii="Times New Roman" w:hAnsi="Times New Roman" w:cs="Times New Roman"/>
          <w:sz w:val="24"/>
          <w:szCs w:val="24"/>
        </w:rPr>
        <w:t>Розмір</w:t>
      </w:r>
      <w:proofErr w:type="spellEnd"/>
      <w:r w:rsidRPr="00471835">
        <w:rPr>
          <w:rFonts w:ascii="Times New Roman" w:hAnsi="Times New Roman" w:cs="Times New Roman"/>
          <w:sz w:val="24"/>
          <w:szCs w:val="24"/>
        </w:rPr>
        <w:t>: 190х1х265 мм (</w:t>
      </w:r>
      <w:proofErr w:type="spellStart"/>
      <w:r w:rsidRPr="00471835">
        <w:rPr>
          <w:rFonts w:ascii="Times New Roman" w:hAnsi="Times New Roman" w:cs="Times New Roman"/>
          <w:sz w:val="24"/>
          <w:szCs w:val="24"/>
        </w:rPr>
        <w:t>ШхГхВ</w:t>
      </w:r>
      <w:proofErr w:type="spellEnd"/>
      <w:r w:rsidRPr="00471835">
        <w:rPr>
          <w:rFonts w:ascii="Times New Roman" w:hAnsi="Times New Roman" w:cs="Times New Roman"/>
          <w:sz w:val="24"/>
          <w:szCs w:val="24"/>
        </w:rPr>
        <w:t xml:space="preserve">). В </w:t>
      </w:r>
      <w:proofErr w:type="spellStart"/>
      <w:r w:rsidRPr="00471835">
        <w:rPr>
          <w:rFonts w:ascii="Times New Roman" w:hAnsi="Times New Roman" w:cs="Times New Roman"/>
          <w:sz w:val="24"/>
          <w:szCs w:val="24"/>
        </w:rPr>
        <w:t>верхній</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частині</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шильди</w:t>
      </w:r>
      <w:proofErr w:type="spellEnd"/>
      <w:r w:rsidRPr="00471835">
        <w:rPr>
          <w:rFonts w:ascii="Times New Roman" w:hAnsi="Times New Roman" w:cs="Times New Roman"/>
          <w:sz w:val="24"/>
          <w:szCs w:val="24"/>
        </w:rPr>
        <w:t xml:space="preserve"> по центру </w:t>
      </w:r>
      <w:proofErr w:type="spellStart"/>
      <w:r w:rsidRPr="00471835">
        <w:rPr>
          <w:rFonts w:ascii="Times New Roman" w:hAnsi="Times New Roman" w:cs="Times New Roman"/>
          <w:sz w:val="24"/>
          <w:szCs w:val="24"/>
        </w:rPr>
        <w:t>розміщений</w:t>
      </w:r>
      <w:proofErr w:type="spellEnd"/>
      <w:r w:rsidRPr="00471835">
        <w:rPr>
          <w:rFonts w:ascii="Times New Roman" w:hAnsi="Times New Roman" w:cs="Times New Roman"/>
          <w:sz w:val="24"/>
          <w:szCs w:val="24"/>
        </w:rPr>
        <w:t xml:space="preserve"> герб </w:t>
      </w:r>
      <w:proofErr w:type="spellStart"/>
      <w:r w:rsidRPr="00471835">
        <w:rPr>
          <w:rFonts w:ascii="Times New Roman" w:hAnsi="Times New Roman" w:cs="Times New Roman"/>
          <w:sz w:val="24"/>
          <w:szCs w:val="24"/>
        </w:rPr>
        <w:t>Київської</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області</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виконаний</w:t>
      </w:r>
      <w:proofErr w:type="spellEnd"/>
      <w:r w:rsidRPr="00471835">
        <w:rPr>
          <w:rFonts w:ascii="Times New Roman" w:hAnsi="Times New Roman" w:cs="Times New Roman"/>
          <w:sz w:val="24"/>
          <w:szCs w:val="24"/>
        </w:rPr>
        <w:t xml:space="preserve"> з </w:t>
      </w:r>
      <w:proofErr w:type="spellStart"/>
      <w:r w:rsidRPr="00471835">
        <w:rPr>
          <w:rFonts w:ascii="Times New Roman" w:hAnsi="Times New Roman" w:cs="Times New Roman"/>
          <w:sz w:val="24"/>
          <w:szCs w:val="24"/>
        </w:rPr>
        <w:t>бронзи</w:t>
      </w:r>
      <w:proofErr w:type="spellEnd"/>
      <w:r w:rsidRPr="00471835">
        <w:rPr>
          <w:rFonts w:ascii="Times New Roman" w:hAnsi="Times New Roman" w:cs="Times New Roman"/>
          <w:sz w:val="24"/>
          <w:szCs w:val="24"/>
        </w:rPr>
        <w:t xml:space="preserve"> методом </w:t>
      </w:r>
      <w:proofErr w:type="spellStart"/>
      <w:r w:rsidRPr="00471835">
        <w:rPr>
          <w:rFonts w:ascii="Times New Roman" w:hAnsi="Times New Roman" w:cs="Times New Roman"/>
          <w:sz w:val="24"/>
          <w:szCs w:val="24"/>
        </w:rPr>
        <w:t>лиття</w:t>
      </w:r>
      <w:proofErr w:type="spellEnd"/>
      <w:r w:rsidRPr="00471835">
        <w:rPr>
          <w:rFonts w:ascii="Times New Roman" w:hAnsi="Times New Roman" w:cs="Times New Roman"/>
          <w:sz w:val="24"/>
          <w:szCs w:val="24"/>
        </w:rPr>
        <w:t xml:space="preserve">. Метод </w:t>
      </w:r>
      <w:proofErr w:type="spellStart"/>
      <w:r w:rsidRPr="00471835">
        <w:rPr>
          <w:rFonts w:ascii="Times New Roman" w:hAnsi="Times New Roman" w:cs="Times New Roman"/>
          <w:sz w:val="24"/>
          <w:szCs w:val="24"/>
        </w:rPr>
        <w:t>травлення</w:t>
      </w:r>
      <w:proofErr w:type="spellEnd"/>
      <w:r w:rsidRPr="00471835">
        <w:rPr>
          <w:rFonts w:ascii="Times New Roman" w:hAnsi="Times New Roman" w:cs="Times New Roman"/>
          <w:sz w:val="24"/>
          <w:szCs w:val="24"/>
        </w:rPr>
        <w:t xml:space="preserve"> та </w:t>
      </w:r>
      <w:proofErr w:type="spellStart"/>
      <w:r w:rsidRPr="00471835">
        <w:rPr>
          <w:rFonts w:ascii="Times New Roman" w:hAnsi="Times New Roman" w:cs="Times New Roman"/>
          <w:sz w:val="24"/>
          <w:szCs w:val="24"/>
        </w:rPr>
        <w:t>штампування</w:t>
      </w:r>
      <w:proofErr w:type="spellEnd"/>
      <w:r w:rsidRPr="00471835">
        <w:rPr>
          <w:rFonts w:ascii="Times New Roman" w:hAnsi="Times New Roman" w:cs="Times New Roman"/>
          <w:sz w:val="24"/>
          <w:szCs w:val="24"/>
        </w:rPr>
        <w:t xml:space="preserve"> </w:t>
      </w:r>
      <w:r w:rsidRPr="00471835">
        <w:rPr>
          <w:rFonts w:ascii="Times New Roman" w:hAnsi="Times New Roman" w:cs="Times New Roman"/>
          <w:b/>
          <w:sz w:val="24"/>
          <w:szCs w:val="24"/>
        </w:rPr>
        <w:t xml:space="preserve">не </w:t>
      </w:r>
      <w:proofErr w:type="spellStart"/>
      <w:r w:rsidRPr="00471835">
        <w:rPr>
          <w:rFonts w:ascii="Times New Roman" w:hAnsi="Times New Roman" w:cs="Times New Roman"/>
          <w:b/>
          <w:sz w:val="24"/>
          <w:szCs w:val="24"/>
        </w:rPr>
        <w:t>використовувати</w:t>
      </w:r>
      <w:proofErr w:type="spellEnd"/>
      <w:r w:rsidRPr="00471835">
        <w:rPr>
          <w:rFonts w:ascii="Times New Roman" w:hAnsi="Times New Roman" w:cs="Times New Roman"/>
          <w:sz w:val="24"/>
          <w:szCs w:val="24"/>
        </w:rPr>
        <w:t xml:space="preserve">. Герб </w:t>
      </w:r>
      <w:proofErr w:type="spellStart"/>
      <w:r w:rsidRPr="00471835">
        <w:rPr>
          <w:rFonts w:ascii="Times New Roman" w:hAnsi="Times New Roman" w:cs="Times New Roman"/>
          <w:sz w:val="24"/>
          <w:szCs w:val="24"/>
        </w:rPr>
        <w:t>має</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високий</w:t>
      </w:r>
      <w:proofErr w:type="spellEnd"/>
      <w:r w:rsidRPr="00471835">
        <w:rPr>
          <w:rFonts w:ascii="Times New Roman" w:hAnsi="Times New Roman" w:cs="Times New Roman"/>
          <w:sz w:val="24"/>
          <w:szCs w:val="24"/>
        </w:rPr>
        <w:t xml:space="preserve"> </w:t>
      </w:r>
      <w:proofErr w:type="spellStart"/>
      <w:r w:rsidRPr="00471835">
        <w:rPr>
          <w:rFonts w:ascii="Times New Roman" w:hAnsi="Times New Roman" w:cs="Times New Roman"/>
          <w:sz w:val="24"/>
          <w:szCs w:val="24"/>
        </w:rPr>
        <w:t>рельєф</w:t>
      </w:r>
      <w:proofErr w:type="spellEnd"/>
      <w:r w:rsidRPr="00471835">
        <w:rPr>
          <w:rFonts w:ascii="Times New Roman" w:hAnsi="Times New Roman" w:cs="Times New Roman"/>
          <w:sz w:val="24"/>
          <w:szCs w:val="24"/>
        </w:rPr>
        <w:t xml:space="preserve"> 4-5 мм. </w:t>
      </w:r>
      <w:proofErr w:type="spellStart"/>
      <w:r w:rsidRPr="00471835">
        <w:rPr>
          <w:rFonts w:ascii="Times New Roman" w:hAnsi="Times New Roman" w:cs="Times New Roman"/>
          <w:sz w:val="24"/>
          <w:szCs w:val="24"/>
        </w:rPr>
        <w:t>Розмір</w:t>
      </w:r>
      <w:proofErr w:type="spellEnd"/>
      <w:r w:rsidRPr="00471835">
        <w:rPr>
          <w:rFonts w:ascii="Times New Roman" w:hAnsi="Times New Roman" w:cs="Times New Roman"/>
          <w:sz w:val="24"/>
          <w:szCs w:val="24"/>
        </w:rPr>
        <w:t xml:space="preserve"> герба: 60х6х73 мм (</w:t>
      </w:r>
      <w:proofErr w:type="spellStart"/>
      <w:r w:rsidRPr="00471835">
        <w:rPr>
          <w:rFonts w:ascii="Times New Roman" w:hAnsi="Times New Roman" w:cs="Times New Roman"/>
          <w:sz w:val="24"/>
          <w:szCs w:val="24"/>
        </w:rPr>
        <w:t>ШхГхВ</w:t>
      </w:r>
      <w:proofErr w:type="spellEnd"/>
      <w:r w:rsidRPr="00471835">
        <w:rPr>
          <w:rFonts w:ascii="Times New Roman" w:hAnsi="Times New Roman" w:cs="Times New Roman"/>
          <w:sz w:val="24"/>
          <w:szCs w:val="24"/>
        </w:rPr>
        <w:t xml:space="preserve">). Плакетка </w:t>
      </w:r>
      <w:proofErr w:type="spellStart"/>
      <w:r w:rsidRPr="00471835">
        <w:rPr>
          <w:rFonts w:ascii="Times New Roman" w:hAnsi="Times New Roman" w:cs="Times New Roman"/>
          <w:sz w:val="24"/>
          <w:szCs w:val="24"/>
        </w:rPr>
        <w:t>має</w:t>
      </w:r>
      <w:proofErr w:type="spellEnd"/>
      <w:r w:rsidRPr="00471835">
        <w:rPr>
          <w:rFonts w:ascii="Times New Roman" w:hAnsi="Times New Roman" w:cs="Times New Roman"/>
          <w:sz w:val="24"/>
          <w:szCs w:val="24"/>
        </w:rPr>
        <w:t xml:space="preserve"> отвори для </w:t>
      </w:r>
      <w:proofErr w:type="spellStart"/>
      <w:r w:rsidRPr="00471835">
        <w:rPr>
          <w:rFonts w:ascii="Times New Roman" w:hAnsi="Times New Roman" w:cs="Times New Roman"/>
          <w:sz w:val="24"/>
          <w:szCs w:val="24"/>
        </w:rPr>
        <w:t>кріплення</w:t>
      </w:r>
      <w:proofErr w:type="spellEnd"/>
      <w:r w:rsidRPr="00471835">
        <w:rPr>
          <w:rFonts w:ascii="Times New Roman" w:hAnsi="Times New Roman" w:cs="Times New Roman"/>
          <w:sz w:val="24"/>
          <w:szCs w:val="24"/>
        </w:rPr>
        <w:t xml:space="preserve"> на </w:t>
      </w:r>
      <w:proofErr w:type="spellStart"/>
      <w:r w:rsidRPr="00471835">
        <w:rPr>
          <w:rFonts w:ascii="Times New Roman" w:hAnsi="Times New Roman" w:cs="Times New Roman"/>
          <w:sz w:val="24"/>
          <w:szCs w:val="24"/>
        </w:rPr>
        <w:t>стіну</w:t>
      </w:r>
      <w:proofErr w:type="spellEnd"/>
      <w:r w:rsidRPr="00471835">
        <w:rPr>
          <w:rFonts w:ascii="Times New Roman" w:hAnsi="Times New Roman" w:cs="Times New Roman"/>
          <w:sz w:val="24"/>
          <w:szCs w:val="24"/>
        </w:rPr>
        <w:t xml:space="preserve"> в вертикальному </w:t>
      </w:r>
      <w:proofErr w:type="spellStart"/>
      <w:r w:rsidRPr="00471835">
        <w:rPr>
          <w:rFonts w:ascii="Times New Roman" w:hAnsi="Times New Roman" w:cs="Times New Roman"/>
          <w:sz w:val="24"/>
          <w:szCs w:val="24"/>
        </w:rPr>
        <w:t>або</w:t>
      </w:r>
      <w:proofErr w:type="spellEnd"/>
      <w:r w:rsidRPr="00471835">
        <w:rPr>
          <w:rFonts w:ascii="Times New Roman" w:hAnsi="Times New Roman" w:cs="Times New Roman"/>
          <w:sz w:val="24"/>
          <w:szCs w:val="24"/>
        </w:rPr>
        <w:t xml:space="preserve"> горизонтальному </w:t>
      </w:r>
      <w:proofErr w:type="spellStart"/>
      <w:r w:rsidRPr="00471835">
        <w:rPr>
          <w:rFonts w:ascii="Times New Roman" w:hAnsi="Times New Roman" w:cs="Times New Roman"/>
          <w:sz w:val="24"/>
          <w:szCs w:val="24"/>
        </w:rPr>
        <w:t>положенні</w:t>
      </w:r>
      <w:proofErr w:type="spellEnd"/>
      <w:r>
        <w:rPr>
          <w:rFonts w:ascii="Times New Roman" w:hAnsi="Times New Roman" w:cs="Times New Roman"/>
          <w:sz w:val="24"/>
          <w:szCs w:val="24"/>
          <w:lang w:val="uk-UA"/>
        </w:rPr>
        <w:t>.</w:t>
      </w:r>
    </w:p>
    <w:p w:rsidR="005E2499" w:rsidRDefault="005E2499" w:rsidP="00471835">
      <w:pPr>
        <w:pStyle w:val="a7"/>
        <w:tabs>
          <w:tab w:val="left" w:pos="0"/>
        </w:tabs>
        <w:suppressAutoHyphens/>
        <w:spacing w:line="240" w:lineRule="auto"/>
        <w:ind w:left="0" w:firstLine="709"/>
        <w:jc w:val="both"/>
        <w:rPr>
          <w:rFonts w:ascii="Times New Roman" w:hAnsi="Times New Roman" w:cs="Times New Roman"/>
          <w:sz w:val="24"/>
          <w:szCs w:val="24"/>
          <w:lang w:val="uk-UA"/>
        </w:rPr>
      </w:pPr>
    </w:p>
    <w:p w:rsidR="005E2499" w:rsidRDefault="005E2499" w:rsidP="00471835">
      <w:pPr>
        <w:pStyle w:val="a7"/>
        <w:tabs>
          <w:tab w:val="left" w:pos="0"/>
        </w:tabs>
        <w:suppressAutoHyphens/>
        <w:spacing w:line="240" w:lineRule="auto"/>
        <w:ind w:left="0" w:firstLine="709"/>
        <w:jc w:val="both"/>
        <w:rPr>
          <w:rFonts w:ascii="Times New Roman" w:hAnsi="Times New Roman" w:cs="Times New Roman"/>
          <w:sz w:val="24"/>
          <w:szCs w:val="24"/>
          <w:lang w:val="uk-UA"/>
        </w:rPr>
      </w:pPr>
    </w:p>
    <w:p w:rsidR="005E2499" w:rsidRDefault="005E2499" w:rsidP="005E2499">
      <w:pPr>
        <w:pStyle w:val="a7"/>
        <w:tabs>
          <w:tab w:val="left" w:pos="0"/>
        </w:tabs>
        <w:suppressAutoHyphens/>
        <w:spacing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Макет Подяки на дошці з логотипом</w:t>
      </w:r>
    </w:p>
    <w:p w:rsidR="005E2499" w:rsidRPr="005E2499" w:rsidRDefault="005E2499" w:rsidP="005E2499">
      <w:pPr>
        <w:pStyle w:val="a7"/>
        <w:tabs>
          <w:tab w:val="left" w:pos="0"/>
        </w:tabs>
        <w:suppressAutoHyphens/>
        <w:spacing w:line="240" w:lineRule="auto"/>
        <w:ind w:left="0"/>
        <w:jc w:val="center"/>
        <w:rPr>
          <w:rFonts w:ascii="Times New Roman" w:hAnsi="Times New Roman" w:cs="Times New Roman"/>
          <w:b/>
          <w:sz w:val="24"/>
          <w:szCs w:val="24"/>
          <w:lang w:val="uk-UA"/>
        </w:rPr>
      </w:pPr>
      <w:r>
        <w:rPr>
          <w:b/>
          <w:noProof/>
          <w:lang w:eastAsia="uk-UA"/>
        </w:rPr>
        <w:drawing>
          <wp:inline distT="0" distB="0" distL="0" distR="0" wp14:anchorId="5FCBEC4E" wp14:editId="2D355430">
            <wp:extent cx="4086225" cy="54543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кет дошк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0340" cy="5566609"/>
                    </a:xfrm>
                    <a:prstGeom prst="rect">
                      <a:avLst/>
                    </a:prstGeom>
                  </pic:spPr>
                </pic:pic>
              </a:graphicData>
            </a:graphic>
          </wp:inline>
        </w:drawing>
      </w:r>
    </w:p>
    <w:p w:rsidR="009B65C7" w:rsidRPr="000C1F45" w:rsidRDefault="00F56D59" w:rsidP="00471835">
      <w:pPr>
        <w:pStyle w:val="a7"/>
        <w:numPr>
          <w:ilvl w:val="0"/>
          <w:numId w:val="6"/>
        </w:numPr>
        <w:tabs>
          <w:tab w:val="left" w:pos="284"/>
        </w:tabs>
        <w:suppressAutoHyphens/>
        <w:spacing w:line="240" w:lineRule="auto"/>
        <w:ind w:left="0" w:firstLine="709"/>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lastRenderedPageBreak/>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471835">
      <w:pPr>
        <w:tabs>
          <w:tab w:val="left" w:pos="284"/>
        </w:tabs>
        <w:suppressAutoHyphens/>
        <w:spacing w:line="240" w:lineRule="auto"/>
        <w:ind w:firstLine="709"/>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471835">
            <w:pPr>
              <w:pStyle w:val="a7"/>
              <w:tabs>
                <w:tab w:val="left" w:pos="284"/>
              </w:tabs>
              <w:suppressAutoHyphens/>
              <w:spacing w:line="240" w:lineRule="auto"/>
              <w:ind w:left="0" w:firstLine="3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471835">
            <w:pPr>
              <w:pStyle w:val="a7"/>
              <w:tabs>
                <w:tab w:val="left" w:pos="284"/>
              </w:tabs>
              <w:suppressAutoHyphens/>
              <w:spacing w:line="240" w:lineRule="auto"/>
              <w:ind w:left="0" w:firstLine="1"/>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471835">
            <w:pPr>
              <w:pStyle w:val="a7"/>
              <w:tabs>
                <w:tab w:val="left" w:pos="284"/>
              </w:tabs>
              <w:suppressAutoHyphens/>
              <w:spacing w:line="240" w:lineRule="auto"/>
              <w:ind w:left="0" w:firstLine="16"/>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471835"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Подяки на дошці з логотипом</w:t>
            </w:r>
          </w:p>
        </w:tc>
        <w:tc>
          <w:tcPr>
            <w:tcW w:w="992"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471835" w:rsidP="00471835">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104</w:t>
            </w:r>
          </w:p>
        </w:tc>
        <w:tc>
          <w:tcPr>
            <w:tcW w:w="1276"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471835">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471835">
            <w:pPr>
              <w:pStyle w:val="a7"/>
              <w:tabs>
                <w:tab w:val="left" w:pos="284"/>
              </w:tabs>
              <w:suppressAutoHyphens/>
              <w:spacing w:line="240" w:lineRule="auto"/>
              <w:ind w:left="0" w:firstLine="709"/>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471835">
            <w:pPr>
              <w:pStyle w:val="a7"/>
              <w:tabs>
                <w:tab w:val="left" w:pos="284"/>
              </w:tabs>
              <w:suppressAutoHyphens/>
              <w:spacing w:line="240" w:lineRule="auto"/>
              <w:ind w:left="0" w:firstLine="709"/>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471835">
            <w:pPr>
              <w:pStyle w:val="a7"/>
              <w:tabs>
                <w:tab w:val="left" w:pos="284"/>
              </w:tabs>
              <w:suppressAutoHyphens/>
              <w:spacing w:line="240" w:lineRule="auto"/>
              <w:ind w:left="0" w:firstLine="709"/>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471835">
            <w:pPr>
              <w:pStyle w:val="a7"/>
              <w:tabs>
                <w:tab w:val="left" w:pos="284"/>
              </w:tabs>
              <w:suppressAutoHyphens/>
              <w:spacing w:line="240" w:lineRule="auto"/>
              <w:ind w:left="0" w:firstLine="709"/>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471835">
            <w:pPr>
              <w:pStyle w:val="a7"/>
              <w:tabs>
                <w:tab w:val="left" w:pos="284"/>
              </w:tabs>
              <w:suppressAutoHyphens/>
              <w:spacing w:line="240" w:lineRule="auto"/>
              <w:ind w:left="0" w:firstLine="709"/>
              <w:jc w:val="right"/>
              <w:rPr>
                <w:rFonts w:ascii="Times New Roman" w:hAnsi="Times New Roman" w:cs="Times New Roman"/>
                <w:b/>
                <w:sz w:val="24"/>
                <w:szCs w:val="24"/>
                <w:lang w:val="uk-UA"/>
              </w:rPr>
            </w:pPr>
          </w:p>
        </w:tc>
        <w:tc>
          <w:tcPr>
            <w:tcW w:w="1552" w:type="dxa"/>
          </w:tcPr>
          <w:p w:rsidR="00120E8F" w:rsidRPr="000C1F45" w:rsidRDefault="00120E8F" w:rsidP="00471835">
            <w:pPr>
              <w:pStyle w:val="a7"/>
              <w:tabs>
                <w:tab w:val="left" w:pos="284"/>
              </w:tabs>
              <w:suppressAutoHyphens/>
              <w:spacing w:line="240" w:lineRule="auto"/>
              <w:ind w:left="0" w:firstLine="709"/>
              <w:jc w:val="both"/>
              <w:rPr>
                <w:rFonts w:ascii="Times New Roman" w:hAnsi="Times New Roman" w:cs="Times New Roman"/>
                <w:b/>
                <w:sz w:val="24"/>
                <w:szCs w:val="24"/>
                <w:lang w:val="uk-UA"/>
              </w:rPr>
            </w:pPr>
          </w:p>
        </w:tc>
      </w:tr>
    </w:tbl>
    <w:p w:rsidR="00CA758D" w:rsidRPr="000C1F45" w:rsidRDefault="00CA758D" w:rsidP="00471835">
      <w:pPr>
        <w:tabs>
          <w:tab w:val="left" w:pos="284"/>
        </w:tabs>
        <w:suppressAutoHyphens/>
        <w:spacing w:line="240" w:lineRule="auto"/>
        <w:ind w:firstLine="709"/>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20E8F"/>
    <w:rsid w:val="00146122"/>
    <w:rsid w:val="00153B6F"/>
    <w:rsid w:val="001553E6"/>
    <w:rsid w:val="001A676A"/>
    <w:rsid w:val="001B78C2"/>
    <w:rsid w:val="001D357A"/>
    <w:rsid w:val="002A42DA"/>
    <w:rsid w:val="002C10A0"/>
    <w:rsid w:val="002C5643"/>
    <w:rsid w:val="002C6449"/>
    <w:rsid w:val="00333174"/>
    <w:rsid w:val="00355927"/>
    <w:rsid w:val="00362680"/>
    <w:rsid w:val="00371192"/>
    <w:rsid w:val="00416020"/>
    <w:rsid w:val="00436328"/>
    <w:rsid w:val="00437530"/>
    <w:rsid w:val="00471835"/>
    <w:rsid w:val="00503819"/>
    <w:rsid w:val="005D6893"/>
    <w:rsid w:val="005E2499"/>
    <w:rsid w:val="006026DB"/>
    <w:rsid w:val="0063352A"/>
    <w:rsid w:val="00651CD2"/>
    <w:rsid w:val="00655DF4"/>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67318"/>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4C74"/>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character" w:styleId="ab">
    <w:name w:val="Hyperlink"/>
    <w:uiPriority w:val="99"/>
    <w:unhideWhenUsed/>
    <w:rsid w:val="002C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24D2-FE7A-4C28-8B06-7E8B4FD3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8975</Words>
  <Characters>5116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8</cp:revision>
  <cp:lastPrinted>2021-02-26T10:54:00Z</cp:lastPrinted>
  <dcterms:created xsi:type="dcterms:W3CDTF">2023-06-08T14:59:00Z</dcterms:created>
  <dcterms:modified xsi:type="dcterms:W3CDTF">2023-11-24T10:03:00Z</dcterms:modified>
</cp:coreProperties>
</file>