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477448">
              <w:rPr>
                <w:rFonts w:ascii="Times New Roman" w:eastAsia="Times New Roman" w:hAnsi="Times New Roman"/>
                <w:b/>
                <w:bCs/>
                <w:sz w:val="28"/>
                <w:szCs w:val="28"/>
                <w:lang w:val="ru-RU" w:eastAsia="ru-RU"/>
              </w:rPr>
              <w:t>11</w:t>
            </w:r>
            <w:r w:rsidR="004B1E2F" w:rsidRPr="00C10B38">
              <w:rPr>
                <w:rFonts w:ascii="Times New Roman" w:eastAsia="Times New Roman" w:hAnsi="Times New Roman"/>
                <w:b/>
                <w:bCs/>
                <w:sz w:val="28"/>
                <w:szCs w:val="28"/>
                <w:lang w:val="ru-RU" w:eastAsia="ru-RU"/>
              </w:rPr>
              <w:t>.</w:t>
            </w:r>
            <w:r w:rsidR="00E7057A">
              <w:rPr>
                <w:rFonts w:ascii="Times New Roman" w:eastAsia="Times New Roman" w:hAnsi="Times New Roman"/>
                <w:b/>
                <w:bCs/>
                <w:sz w:val="28"/>
                <w:szCs w:val="28"/>
                <w:lang w:val="ru-RU" w:eastAsia="ru-RU"/>
              </w:rPr>
              <w:t>01</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E7057A">
              <w:rPr>
                <w:rFonts w:ascii="Times New Roman" w:eastAsia="Times New Roman" w:hAnsi="Times New Roman"/>
                <w:b/>
                <w:bCs/>
                <w:sz w:val="28"/>
                <w:szCs w:val="28"/>
                <w:lang w:val="ru-RU" w:eastAsia="ru-RU"/>
              </w:rPr>
              <w:t>3</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C05606">
        <w:rPr>
          <w:rFonts w:ascii="Times New Roman" w:eastAsia="Times New Roman" w:hAnsi="Times New Roman"/>
          <w:b/>
          <w:sz w:val="28"/>
          <w:szCs w:val="28"/>
          <w:lang w:eastAsia="ru-RU"/>
        </w:rPr>
        <w:t xml:space="preserve">ДК 021:2015 </w:t>
      </w:r>
      <w:r w:rsidR="00B37C69">
        <w:rPr>
          <w:rFonts w:ascii="Times New Roman" w:eastAsia="Times New Roman" w:hAnsi="Times New Roman"/>
          <w:b/>
          <w:sz w:val="28"/>
          <w:szCs w:val="28"/>
          <w:lang w:eastAsia="ru-RU"/>
        </w:rPr>
        <w:t>33690000-3 «Лікарські засоби різні»</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05606"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B6772A" w:rsidRPr="00E7057A" w:rsidRDefault="00B37C69" w:rsidP="0081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Реагенти </w:t>
      </w:r>
      <w:r w:rsidR="00E7057A">
        <w:rPr>
          <w:rFonts w:ascii="Times New Roman" w:eastAsia="Times New Roman" w:hAnsi="Times New Roman"/>
          <w:b/>
          <w:sz w:val="32"/>
          <w:szCs w:val="32"/>
          <w:lang w:eastAsia="ru-RU"/>
        </w:rPr>
        <w:t xml:space="preserve">та витратні матеріали для проведення ПЛР та досліджень на </w:t>
      </w:r>
      <w:r w:rsidR="00E7057A">
        <w:rPr>
          <w:rFonts w:ascii="Times New Roman" w:eastAsia="Times New Roman" w:hAnsi="Times New Roman"/>
          <w:b/>
          <w:sz w:val="32"/>
          <w:szCs w:val="32"/>
          <w:lang w:val="en-US" w:eastAsia="ru-RU"/>
        </w:rPr>
        <w:t>Cobas</w:t>
      </w:r>
      <w:r w:rsidR="00E7057A" w:rsidRPr="00E7057A">
        <w:rPr>
          <w:rFonts w:ascii="Times New Roman" w:eastAsia="Times New Roman" w:hAnsi="Times New Roman"/>
          <w:b/>
          <w:sz w:val="32"/>
          <w:szCs w:val="32"/>
          <w:lang w:val="ru-RU" w:eastAsia="ru-RU"/>
        </w:rPr>
        <w:t xml:space="preserve"> </w:t>
      </w:r>
      <w:r w:rsidR="00E7057A">
        <w:rPr>
          <w:rFonts w:ascii="Times New Roman" w:eastAsia="Times New Roman" w:hAnsi="Times New Roman"/>
          <w:b/>
          <w:sz w:val="32"/>
          <w:szCs w:val="32"/>
          <w:lang w:val="en-US" w:eastAsia="ru-RU"/>
        </w:rPr>
        <w:t>e</w:t>
      </w:r>
      <w:r w:rsidR="00E7057A" w:rsidRPr="00E7057A">
        <w:rPr>
          <w:rFonts w:ascii="Times New Roman" w:eastAsia="Times New Roman" w:hAnsi="Times New Roman"/>
          <w:b/>
          <w:sz w:val="32"/>
          <w:szCs w:val="32"/>
          <w:lang w:val="ru-RU" w:eastAsia="ru-RU"/>
        </w:rPr>
        <w:t>411</w:t>
      </w:r>
    </w:p>
    <w:p w:rsidR="00563D48" w:rsidRPr="00C05606" w:rsidRDefault="00563D48"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384"/>
        <w:gridCol w:w="6230"/>
        <w:gridCol w:w="1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r w:rsidRPr="008B07A4">
              <w:rPr>
                <w:rFonts w:ascii="Times New Roman" w:eastAsia="Times New Roman" w:hAnsi="Times New Roman"/>
                <w:sz w:val="24"/>
                <w:szCs w:val="24"/>
                <w:lang w:eastAsia="ru-RU"/>
              </w:rPr>
              <w:t>Е-</w:t>
            </w:r>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r w:rsidR="00016A09">
              <w:rPr>
                <w:rFonts w:ascii="Times New Roman" w:eastAsia="Times New Roman" w:hAnsi="Times New Roman"/>
                <w:sz w:val="24"/>
                <w:szCs w:val="24"/>
                <w:lang w:val="en-US" w:eastAsia="ru-RU"/>
              </w:rPr>
              <w:t>anna</w:t>
            </w:r>
            <w:r w:rsidRPr="008B07A4">
              <w:rPr>
                <w:rFonts w:ascii="Times New Roman" w:eastAsia="Times New Roman" w:hAnsi="Times New Roman"/>
                <w:sz w:val="24"/>
                <w:szCs w:val="24"/>
                <w:lang w:eastAsia="ru-RU"/>
              </w:rPr>
              <w:t>.</w:t>
            </w:r>
            <w:r w:rsidR="00016A09">
              <w:rPr>
                <w:rFonts w:ascii="Times New Roman" w:eastAsia="Times New Roman" w:hAnsi="Times New Roman"/>
                <w:sz w:val="24"/>
                <w:szCs w:val="24"/>
                <w:lang w:val="en-US" w:eastAsia="ru-RU"/>
              </w:rPr>
              <w:t>ua</w:t>
            </w:r>
            <w:r w:rsidR="00016A09" w:rsidRPr="00DC7547">
              <w:rPr>
                <w:rFonts w:ascii="Times New Roman" w:eastAsia="Times New Roman" w:hAnsi="Times New Roman"/>
                <w:sz w:val="24"/>
                <w:szCs w:val="24"/>
                <w:lang w:val="ru-RU" w:eastAsia="ru-RU"/>
              </w:rPr>
              <w:t>2012@</w:t>
            </w:r>
            <w:r w:rsidR="00016A09">
              <w:rPr>
                <w:rFonts w:ascii="Times New Roman" w:eastAsia="Times New Roman" w:hAnsi="Times New Roman"/>
                <w:sz w:val="24"/>
                <w:szCs w:val="24"/>
                <w:lang w:val="en-US" w:eastAsia="ru-RU"/>
              </w:rPr>
              <w:t>gmail</w:t>
            </w:r>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8E42F7" w:rsidP="003E6848">
            <w:pPr>
              <w:spacing w:after="0" w:line="240" w:lineRule="auto"/>
              <w:jc w:val="both"/>
              <w:rPr>
                <w:rFonts w:ascii="Times New Roman" w:eastAsia="Times New Roman" w:hAnsi="Times New Roman"/>
                <w:b/>
                <w:i/>
                <w:sz w:val="24"/>
                <w:szCs w:val="24"/>
                <w:lang w:eastAsia="uk-UA"/>
              </w:rPr>
            </w:pPr>
            <w:r>
              <w:rPr>
                <w:rFonts w:ascii="Times New Roman" w:eastAsia="Times New Roman" w:hAnsi="Times New Roman"/>
                <w:b/>
                <w:i/>
                <w:sz w:val="24"/>
                <w:szCs w:val="24"/>
                <w:lang w:eastAsia="uk-UA"/>
              </w:rPr>
              <w:t>Шульга Н.В. – завідуюча централізованим відділенням автоматизованої лабораторної діагностики</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r w:rsidRPr="00E66449">
              <w:rPr>
                <w:rFonts w:ascii="Times New Roman" w:eastAsia="Times New Roman" w:hAnsi="Times New Roman"/>
                <w:sz w:val="24"/>
                <w:szCs w:val="24"/>
                <w:lang w:eastAsia="ru-RU"/>
              </w:rPr>
              <w:t>Е-</w:t>
            </w:r>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8E42F7" w:rsidP="00E7057A">
            <w:pPr>
              <w:spacing w:line="211" w:lineRule="atLeast"/>
              <w:rPr>
                <w:rFonts w:ascii="Times New Roman" w:hAnsi="Times New Roman"/>
                <w:lang w:val="ru-RU"/>
              </w:rPr>
            </w:pPr>
            <w:r w:rsidRPr="008E42F7">
              <w:rPr>
                <w:rFonts w:ascii="Times New Roman" w:hAnsi="Times New Roman"/>
              </w:rPr>
              <w:t xml:space="preserve">Реагенти  </w:t>
            </w:r>
            <w:r w:rsidR="00E7057A">
              <w:rPr>
                <w:rFonts w:ascii="Times New Roman" w:hAnsi="Times New Roman"/>
              </w:rPr>
              <w:t xml:space="preserve">тв. Витратні матеріали для проведення ПЛР та досліджень на </w:t>
            </w:r>
            <w:r w:rsidR="00E7057A">
              <w:rPr>
                <w:rFonts w:ascii="Times New Roman" w:hAnsi="Times New Roman"/>
                <w:lang w:val="en-US"/>
              </w:rPr>
              <w:t>Cobas</w:t>
            </w:r>
            <w:r w:rsidR="00E7057A" w:rsidRPr="00E7057A">
              <w:rPr>
                <w:rFonts w:ascii="Times New Roman" w:hAnsi="Times New Roman"/>
                <w:lang w:val="ru-RU"/>
              </w:rPr>
              <w:t xml:space="preserve"> </w:t>
            </w:r>
            <w:r w:rsidR="00E7057A">
              <w:rPr>
                <w:rFonts w:ascii="Times New Roman" w:hAnsi="Times New Roman"/>
                <w:lang w:val="en-US"/>
              </w:rPr>
              <w:t>e</w:t>
            </w:r>
            <w:r w:rsidR="00E7057A" w:rsidRPr="00E7057A">
              <w:rPr>
                <w:rFonts w:ascii="Times New Roman" w:hAnsi="Times New Roman"/>
                <w:lang w:val="ru-RU"/>
              </w:rPr>
              <w:t xml:space="preserve"> 411</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8E42F7">
            <w:pPr>
              <w:spacing w:after="0" w:line="240" w:lineRule="auto"/>
              <w:jc w:val="both"/>
              <w:rPr>
                <w:rFonts w:ascii="Times New Roman" w:eastAsia="Times New Roman" w:hAnsi="Times New Roman"/>
                <w:sz w:val="24"/>
                <w:szCs w:val="24"/>
                <w:lang w:eastAsia="ru-RU"/>
              </w:rPr>
            </w:pPr>
            <w:r w:rsidRPr="00016A09">
              <w:rPr>
                <w:rFonts w:ascii="Times New Roman" w:eastAsia="Times New Roman" w:hAnsi="Times New Roman"/>
                <w:sz w:val="24"/>
                <w:szCs w:val="24"/>
                <w:lang w:eastAsia="ru-RU"/>
              </w:rPr>
              <w:t xml:space="preserve">ДК 021:2015  </w:t>
            </w:r>
            <w:r w:rsidR="008E42F7">
              <w:rPr>
                <w:rFonts w:ascii="Times New Roman" w:eastAsia="Times New Roman" w:hAnsi="Times New Roman"/>
                <w:sz w:val="24"/>
                <w:szCs w:val="24"/>
                <w:lang w:eastAsia="ru-RU"/>
              </w:rPr>
              <w:t>33690000-3 «Лікарські засоби різні»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r w:rsidRPr="008B07A4">
              <w:rPr>
                <w:rFonts w:ascii="Times New Roman" w:eastAsia="Times New Roman" w:hAnsi="Times New Roman"/>
                <w:sz w:val="24"/>
                <w:szCs w:val="24"/>
                <w:lang w:val="ru-RU" w:eastAsia="zh-CN"/>
              </w:rPr>
              <w:t xml:space="preserve">Україна, Рівненська область, місто Рівне,    </w:t>
            </w:r>
          </w:p>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val="ru-RU" w:eastAsia="zh-CN"/>
              </w:rPr>
              <w:t>вулиця 16 Липня, будинок 36, 33028.</w:t>
            </w:r>
          </w:p>
          <w:p w:rsidR="00BA71F3" w:rsidRPr="008B07A4" w:rsidRDefault="00BA71F3" w:rsidP="003E6848">
            <w:pPr>
              <w:spacing w:after="0" w:line="240" w:lineRule="auto"/>
              <w:rPr>
                <w:rFonts w:ascii="Times New Roman" w:eastAsia="Times New Roman" w:hAnsi="Times New Roman"/>
                <w:sz w:val="24"/>
                <w:szCs w:val="24"/>
                <w:lang w:eastAsia="uk-UA"/>
              </w:rPr>
            </w:pPr>
            <w:r w:rsidRPr="008B07A4">
              <w:rPr>
                <w:rFonts w:ascii="Times New Roman" w:eastAsia="Times New Roman" w:hAnsi="Times New Roman"/>
                <w:sz w:val="24"/>
                <w:szCs w:val="24"/>
                <w:lang w:val="ru-RU" w:eastAsia="uk-UA"/>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b/>
                <w:sz w:val="24"/>
                <w:szCs w:val="24"/>
                <w:lang w:val="ru-RU" w:eastAsia="uk-UA"/>
              </w:rPr>
              <w:t xml:space="preserve">Кількість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r w:rsidRPr="008B07A4">
              <w:rPr>
                <w:rFonts w:ascii="Times New Roman" w:hAnsi="Times New Roman"/>
                <w:sz w:val="24"/>
                <w:szCs w:val="24"/>
                <w:lang w:val="ru-RU"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r w:rsidRPr="008B07A4">
              <w:rPr>
                <w:rFonts w:ascii="Times New Roman" w:eastAsia="Times New Roman" w:hAnsi="Times New Roman"/>
                <w:sz w:val="24"/>
                <w:szCs w:val="24"/>
                <w:lang w:eastAsia="ru-RU"/>
              </w:rPr>
              <w:t>Ва</w:t>
            </w:r>
            <w:r w:rsidRPr="008B07A4">
              <w:rPr>
                <w:rFonts w:ascii="Times New Roman" w:eastAsia="Times New Roman" w:hAnsi="Times New Roman"/>
                <w:sz w:val="24"/>
                <w:szCs w:val="24"/>
                <w:lang w:val="ru-RU" w:eastAsia="uk-UA"/>
              </w:rPr>
              <w:t>лютою тендерної пропозиції є гривня</w:t>
            </w:r>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8B07A4">
              <w:rPr>
                <w:rFonts w:ascii="Times New Roman" w:eastAsia="Times New Roman" w:hAnsi="Times New Roman"/>
                <w:sz w:val="24"/>
                <w:szCs w:val="24"/>
                <w:lang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3E6848">
            <w:pPr>
              <w:numPr>
                <w:ilvl w:val="0"/>
                <w:numId w:val="4"/>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Відсутність документів, що не передбачені законодавством </w:t>
            </w:r>
            <w:r w:rsidRPr="008B07A4">
              <w:rPr>
                <w:rFonts w:ascii="Times New Roman" w:eastAsia="Times New Roman" w:hAnsi="Times New Roman"/>
                <w:sz w:val="24"/>
                <w:szCs w:val="24"/>
                <w:lang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3E6848">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w:t>
            </w:r>
            <w:r w:rsidRPr="008B07A4">
              <w:rPr>
                <w:rFonts w:ascii="Times New Roman" w:eastAsia="Times New Roman" w:hAnsi="Times New Roman"/>
                <w:sz w:val="24"/>
                <w:szCs w:val="24"/>
                <w:lang w:eastAsia="ru-RU"/>
              </w:rPr>
              <w:lastRenderedPageBreak/>
              <w:t xml:space="preserve">рядок;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w:t>
            </w:r>
            <w:r w:rsidRPr="008B07A4">
              <w:rPr>
                <w:rFonts w:ascii="Times New Roman" w:eastAsia="Times New Roman" w:hAnsi="Times New Roman"/>
                <w:sz w:val="24"/>
                <w:szCs w:val="24"/>
                <w:lang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«тендернапропозиція» замість «тендерна пропозиція»;</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«срток поставки» замість «строк поставки»;</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3E6848">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3E6848">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Підстави для відмови в участі у процедурі закупівлі </w:t>
            </w:r>
            <w:r w:rsidRPr="008B07A4">
              <w:rPr>
                <w:rFonts w:ascii="Times New Roman" w:eastAsia="Times New Roman" w:hAnsi="Times New Roman"/>
                <w:sz w:val="24"/>
                <w:szCs w:val="24"/>
                <w:lang w:eastAsia="ru-RU"/>
              </w:rPr>
              <w:lastRenderedPageBreak/>
              <w:t>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DE482F">
              <w:rPr>
                <w:rFonts w:ascii="Times New Roman" w:eastAsia="Times New Roman" w:hAnsi="Times New Roman"/>
                <w:b/>
                <w:sz w:val="24"/>
                <w:szCs w:val="24"/>
                <w:lang w:val="ru-RU" w:eastAsia="ru-RU"/>
              </w:rPr>
              <w:t>19</w:t>
            </w:r>
            <w:r w:rsidR="00E7057A">
              <w:rPr>
                <w:rFonts w:ascii="Times New Roman" w:eastAsia="Times New Roman" w:hAnsi="Times New Roman"/>
                <w:b/>
                <w:sz w:val="24"/>
                <w:szCs w:val="24"/>
                <w:lang w:eastAsia="ru-RU"/>
              </w:rPr>
              <w:t>.01.2024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23A93">
              <w:rPr>
                <w:rStyle w:val="hard-blue-color"/>
                <w:rFonts w:ascii="Times New Roman" w:hAnsi="Times New Roman" w:cs="Times New Roman"/>
                <w:bCs/>
                <w:iCs/>
                <w:color w:val="auto"/>
                <w:sz w:val="24"/>
                <w:szCs w:val="24"/>
              </w:rPr>
              <w:t>статті 16 Закону</w:t>
            </w:r>
            <w:r w:rsidRPr="00723A93">
              <w:rPr>
                <w:rFonts w:ascii="Times New Roman" w:hAnsi="Times New Roman" w:cs="Times New Roman"/>
                <w:bCs/>
                <w:iCs/>
                <w:color w:val="auto"/>
                <w:sz w:val="24"/>
                <w:szCs w:val="24"/>
              </w:rPr>
              <w:t>, і документи, що підтверджують відсутність підстав, визначених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r w:rsidRPr="00723A93">
              <w:rPr>
                <w:rFonts w:ascii="Times New Roman" w:hAnsi="Times New Roman" w:cs="Times New Roman"/>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8B07A4">
              <w:rPr>
                <w:rFonts w:ascii="Times New Roman" w:eastAsia="Times New Roman" w:hAnsi="Times New Roman"/>
                <w:sz w:val="24"/>
                <w:szCs w:val="24"/>
                <w:lang w:eastAsia="ru-RU"/>
              </w:rPr>
              <w:lastRenderedPageBreak/>
              <w:t xml:space="preserve">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2366D4" w:rsidRPr="008B07A4" w:rsidRDefault="00E07C9D" w:rsidP="002366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Відповідно до Постанови №471 абзац 2 п.2 постанови №1178 </w:t>
            </w:r>
          </w:p>
          <w:p w:rsidR="00BA71F3" w:rsidRDefault="002366D4" w:rsidP="003E6848">
            <w:pPr>
              <w:spacing w:after="0" w:line="240" w:lineRule="auto"/>
              <w:jc w:val="both"/>
              <w:rPr>
                <w:rFonts w:ascii="Times New Roman" w:hAnsi="Times New Roman"/>
                <w:color w:val="0E1D2F"/>
                <w:sz w:val="24"/>
                <w:szCs w:val="24"/>
                <w:shd w:val="clear" w:color="auto" w:fill="FFFFFF"/>
              </w:rPr>
            </w:pPr>
            <w:r w:rsidRPr="002366D4">
              <w:rPr>
                <w:rFonts w:ascii="Times New Roman" w:hAnsi="Times New Roman"/>
                <w:color w:val="0E1D2F"/>
                <w:sz w:val="24"/>
                <w:szCs w:val="24"/>
                <w:shd w:val="clear" w:color="auto" w:fill="FFFFFF"/>
              </w:rPr>
              <w:t>затверджено в новій редакції, згідно з яким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366D4" w:rsidRPr="008B07A4" w:rsidRDefault="005F0C2D" w:rsidP="002366D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xml:space="preserve"> цих особливостей, або факту зазначення у тендерній пропозиції будь-якої недостовірної </w:t>
            </w:r>
            <w:r w:rsidRPr="005F0C2D">
              <w:rPr>
                <w:rFonts w:ascii="Times New Roman" w:hAnsi="Times New Roman"/>
                <w:sz w:val="24"/>
                <w:szCs w:val="24"/>
                <w:shd w:val="clear" w:color="auto" w:fill="FFFFFF"/>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366D4" w:rsidRPr="008B07A4">
              <w:rPr>
                <w:rFonts w:ascii="Times New Roman" w:eastAsia="Times New Roman" w:hAnsi="Times New Roman"/>
                <w:sz w:val="24"/>
                <w:szCs w:val="24"/>
                <w:lang w:eastAsia="ru-RU"/>
              </w:rPr>
              <w:t>.</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2366D4" w:rsidP="005F0C2D">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B160D">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9544C6" w:rsidRPr="006941C4" w:rsidRDefault="009544C6" w:rsidP="00CD6E89">
            <w:pPr>
              <w:numPr>
                <w:ilvl w:val="0"/>
                <w:numId w:val="9"/>
              </w:numPr>
              <w:spacing w:after="0" w:line="240" w:lineRule="auto"/>
              <w:contextualSpacing/>
              <w:jc w:val="both"/>
              <w:rPr>
                <w:rFonts w:ascii="Times New Roman" w:eastAsia="Times New Roman" w:hAnsi="Times New Roman"/>
                <w:sz w:val="24"/>
                <w:szCs w:val="24"/>
                <w:lang w:eastAsia="ru-RU"/>
              </w:rPr>
            </w:pPr>
            <w:r w:rsidRPr="006941C4">
              <w:rPr>
                <w:rFonts w:ascii="Times New Roman" w:hAnsi="Times New Roman"/>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CD6E89">
            <w:pPr>
              <w:numPr>
                <w:ilvl w:val="0"/>
                <w:numId w:val="22"/>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є такою, ціна якої перевищує очікувану вартість </w:t>
            </w:r>
            <w:r w:rsidRPr="008B07A4">
              <w:rPr>
                <w:rFonts w:ascii="Times New Roman" w:eastAsia="Times New Roman" w:hAnsi="Times New Roman"/>
                <w:sz w:val="24"/>
                <w:szCs w:val="24"/>
                <w:lang w:eastAsia="ru-RU"/>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616C38">
            <w:pPr>
              <w:numPr>
                <w:ilvl w:val="0"/>
                <w:numId w:val="11"/>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0839B3">
            <w:pPr>
              <w:numPr>
                <w:ilvl w:val="0"/>
                <w:numId w:val="11"/>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lastRenderedPageBreak/>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3E7252">
              <w:rPr>
                <w:shd w:val="solid" w:color="FFFFFF" w:fill="FFFFFF"/>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2C606E">
              <w:rPr>
                <w:rFonts w:ascii="Times New Roman" w:hAnsi="Times New Roman"/>
                <w:sz w:val="24"/>
                <w:szCs w:val="24"/>
              </w:rPr>
              <w:lastRenderedPageBreak/>
              <w:t>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0"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пунктом 1 статті 50 Закону України “Про захист економічної конкуренції”,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антиконкурентних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Закону України “Про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формувань”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або кінцевий бенефіціарний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згідно із Законом України “Про санкції”</w:t>
            </w:r>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незнятої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w:t>
            </w:r>
            <w:r>
              <w:rPr>
                <w:rFonts w:ascii="Times New Roman" w:eastAsia="Times New Roman" w:hAnsi="Times New Roman"/>
                <w:lang w:eastAsia="ru-RU"/>
              </w:rPr>
              <w:lastRenderedPageBreak/>
              <w:t xml:space="preserve">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 xml:space="preserve">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документального підтвердження </w:t>
            </w:r>
            <w:r w:rsidRPr="00EB2CE8">
              <w:rPr>
                <w:rFonts w:ascii="Times New Roman" w:eastAsia="Times New Roman" w:hAnsi="Times New Roman"/>
                <w:lang w:eastAsia="ru-RU"/>
              </w:rPr>
              <w:lastRenderedPageBreak/>
              <w:t>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інформації, що оприлюднена у формі відкритих даних згідно із Законом України “Про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публічної інформації”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2"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3"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4"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5"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522083" w:rsidRDefault="00522083" w:rsidP="00522083">
      <w:pPr>
        <w:tabs>
          <w:tab w:val="left" w:pos="142"/>
        </w:tabs>
        <w:ind w:left="-993"/>
        <w:jc w:val="center"/>
        <w:rPr>
          <w:rFonts w:ascii="Times New Roman" w:hAnsi="Times New Roman"/>
          <w:b/>
          <w:noProof/>
          <w:color w:val="000000"/>
        </w:rPr>
      </w:pPr>
      <w:r w:rsidRPr="008E42F7">
        <w:rPr>
          <w:rFonts w:ascii="Times New Roman" w:hAnsi="Times New Roman"/>
          <w:b/>
          <w:noProof/>
          <w:color w:val="000000"/>
        </w:rPr>
        <w:t>ІНФОРМАЦІЯ ПРО НЕОБХІДНІ ТЕХНІЧНІ, ЯКІСНІ ТА КІЛЬКІСНІ ХАРАКТЕРИСТИКИ</w:t>
      </w:r>
    </w:p>
    <w:p w:rsidR="00522083" w:rsidRDefault="00522083" w:rsidP="00522083">
      <w:pPr>
        <w:spacing w:after="0" w:line="240" w:lineRule="auto"/>
        <w:jc w:val="center"/>
        <w:rPr>
          <w:rFonts w:ascii="Times New Roman" w:hAnsi="Times New Roman"/>
          <w:b/>
          <w:noProof/>
          <w:color w:val="000000"/>
        </w:rPr>
      </w:pPr>
      <w:r w:rsidRPr="008E42F7">
        <w:rPr>
          <w:rFonts w:ascii="Times New Roman" w:hAnsi="Times New Roman"/>
          <w:b/>
          <w:noProof/>
          <w:color w:val="000000"/>
        </w:rPr>
        <w:t>ПРЕДМЕТА ЗАКУПІВЛІ</w:t>
      </w:r>
    </w:p>
    <w:p w:rsidR="00522083" w:rsidRPr="008B07A4" w:rsidRDefault="00522083" w:rsidP="00522083">
      <w:pPr>
        <w:spacing w:after="0" w:line="240" w:lineRule="auto"/>
        <w:jc w:val="center"/>
        <w:rPr>
          <w:rFonts w:ascii="Times New Roman" w:hAnsi="Times New Roman"/>
          <w:b/>
          <w:bCs/>
          <w:sz w:val="24"/>
          <w:szCs w:val="24"/>
        </w:rPr>
      </w:pPr>
    </w:p>
    <w:p w:rsidR="00C66AB1" w:rsidRPr="00E7057A" w:rsidRDefault="00522083" w:rsidP="00522083">
      <w:pPr>
        <w:spacing w:after="0" w:line="240" w:lineRule="auto"/>
        <w:ind w:firstLine="708"/>
        <w:jc w:val="center"/>
        <w:rPr>
          <w:rFonts w:ascii="Times New Roman" w:hAnsi="Times New Roman"/>
          <w:b/>
          <w:color w:val="222222"/>
          <w:sz w:val="28"/>
          <w:szCs w:val="28"/>
          <w:shd w:val="clear" w:color="auto" w:fill="FFFFFF"/>
          <w:lang w:val="ru-RU"/>
        </w:rPr>
      </w:pPr>
      <w:r w:rsidRPr="00E231BC">
        <w:rPr>
          <w:rFonts w:ascii="Times New Roman" w:hAnsi="Times New Roman"/>
          <w:b/>
          <w:color w:val="222222"/>
          <w:sz w:val="28"/>
          <w:szCs w:val="28"/>
          <w:shd w:val="clear" w:color="auto" w:fill="FFFFFF"/>
        </w:rPr>
        <w:t xml:space="preserve">Реагенти </w:t>
      </w:r>
      <w:r w:rsidR="00E7057A">
        <w:rPr>
          <w:rFonts w:ascii="Times New Roman" w:hAnsi="Times New Roman"/>
          <w:b/>
          <w:color w:val="222222"/>
          <w:sz w:val="28"/>
          <w:szCs w:val="28"/>
          <w:shd w:val="clear" w:color="auto" w:fill="FFFFFF"/>
        </w:rPr>
        <w:t xml:space="preserve">та витратні матеріали для проведення ПЛР та досліджень на </w:t>
      </w:r>
      <w:r w:rsidR="00E7057A">
        <w:rPr>
          <w:rFonts w:ascii="Times New Roman" w:hAnsi="Times New Roman"/>
          <w:b/>
          <w:color w:val="222222"/>
          <w:sz w:val="28"/>
          <w:szCs w:val="28"/>
          <w:shd w:val="clear" w:color="auto" w:fill="FFFFFF"/>
          <w:lang w:val="en-US"/>
        </w:rPr>
        <w:t>Cobas</w:t>
      </w:r>
      <w:r w:rsidR="00E7057A" w:rsidRPr="00E7057A">
        <w:rPr>
          <w:rFonts w:ascii="Times New Roman" w:hAnsi="Times New Roman"/>
          <w:b/>
          <w:color w:val="222222"/>
          <w:sz w:val="28"/>
          <w:szCs w:val="28"/>
          <w:shd w:val="clear" w:color="auto" w:fill="FFFFFF"/>
          <w:lang w:val="ru-RU"/>
        </w:rPr>
        <w:t xml:space="preserve"> </w:t>
      </w:r>
      <w:r w:rsidR="00E7057A">
        <w:rPr>
          <w:rFonts w:ascii="Times New Roman" w:hAnsi="Times New Roman"/>
          <w:b/>
          <w:color w:val="222222"/>
          <w:sz w:val="28"/>
          <w:szCs w:val="28"/>
          <w:shd w:val="clear" w:color="auto" w:fill="FFFFFF"/>
          <w:lang w:val="en-US"/>
        </w:rPr>
        <w:t>e</w:t>
      </w:r>
      <w:r w:rsidR="00E7057A" w:rsidRPr="00E7057A">
        <w:rPr>
          <w:rFonts w:ascii="Times New Roman" w:hAnsi="Times New Roman"/>
          <w:b/>
          <w:color w:val="222222"/>
          <w:sz w:val="28"/>
          <w:szCs w:val="28"/>
          <w:shd w:val="clear" w:color="auto" w:fill="FFFFFF"/>
          <w:lang w:val="ru-RU"/>
        </w:rPr>
        <w:t xml:space="preserve"> 411</w:t>
      </w:r>
    </w:p>
    <w:p w:rsidR="00522083" w:rsidRPr="00522083" w:rsidRDefault="00522083" w:rsidP="00522083">
      <w:pPr>
        <w:spacing w:after="0" w:line="240" w:lineRule="auto"/>
        <w:ind w:firstLine="708"/>
        <w:jc w:val="center"/>
        <w:rPr>
          <w:rFonts w:ascii="Times New Roman" w:hAnsi="Times New Roman"/>
          <w:b/>
          <w:color w:val="222222"/>
          <w:sz w:val="28"/>
          <w:szCs w:val="28"/>
          <w:shd w:val="clear" w:color="auto" w:fill="FFFFFF"/>
        </w:rPr>
      </w:pPr>
    </w:p>
    <w:p w:rsidR="00522083" w:rsidRDefault="00522083" w:rsidP="00522083">
      <w:pPr>
        <w:spacing w:after="0" w:line="240" w:lineRule="auto"/>
        <w:ind w:firstLine="708"/>
        <w:jc w:val="center"/>
        <w:rPr>
          <w:rFonts w:ascii="Times New Roman" w:hAnsi="Times New Roman"/>
          <w:b/>
          <w:sz w:val="24"/>
          <w:szCs w:val="24"/>
        </w:rPr>
      </w:pPr>
      <w:r w:rsidRPr="00110FD6">
        <w:rPr>
          <w:rFonts w:ascii="Times New Roman" w:hAnsi="Times New Roman"/>
          <w:b/>
          <w:sz w:val="24"/>
          <w:szCs w:val="24"/>
        </w:rPr>
        <w:t>Медико-технічні вимоги</w:t>
      </w:r>
    </w:p>
    <w:p w:rsidR="00E7057A" w:rsidRPr="008B62A0" w:rsidRDefault="00E7057A" w:rsidP="00E7057A">
      <w:pPr>
        <w:spacing w:after="0" w:line="240" w:lineRule="auto"/>
        <w:rPr>
          <w:rFonts w:ascii="Times New Roman" w:hAnsi="Times New Roman"/>
          <w:b/>
          <w:color w:val="222222"/>
          <w:sz w:val="28"/>
          <w:szCs w:val="28"/>
          <w:shd w:val="clear" w:color="auto" w:fill="FFFFFF"/>
        </w:rPr>
      </w:pPr>
    </w:p>
    <w:p w:rsidR="00E7057A" w:rsidRPr="00EB5F50" w:rsidRDefault="00E7057A" w:rsidP="00E7057A">
      <w:pPr>
        <w:ind w:firstLine="708"/>
        <w:jc w:val="both"/>
        <w:rPr>
          <w:rFonts w:ascii="Times New Roman" w:hAnsi="Times New Roman"/>
        </w:rPr>
      </w:pPr>
      <w:r w:rsidRPr="00EB5F50">
        <w:rPr>
          <w:rFonts w:ascii="Times New Roman" w:hAnsi="Times New Roman"/>
        </w:rPr>
        <w:t xml:space="preserve">Код ДК 021:2015:   33690000-3 - лікарські засоби різні  </w:t>
      </w:r>
    </w:p>
    <w:p w:rsidR="00E7057A" w:rsidRPr="007017DA" w:rsidRDefault="00E7057A" w:rsidP="00E7057A">
      <w:pPr>
        <w:ind w:firstLine="708"/>
        <w:rPr>
          <w:rFonts w:ascii="Times New Roman" w:hAnsi="Times New Roman"/>
        </w:rPr>
      </w:pPr>
      <w:r w:rsidRPr="007017DA">
        <w:rPr>
          <w:rFonts w:ascii="Times New Roman" w:hAnsi="Times New Roman"/>
        </w:rPr>
        <w:t xml:space="preserve">Код НК 024:2023:  </w:t>
      </w:r>
      <w:r w:rsidRPr="007017DA">
        <w:rPr>
          <w:rFonts w:ascii="Times New Roman" w:hAnsi="Times New Roman"/>
          <w:bCs/>
          <w:iCs/>
          <w:noProof/>
          <w:lang w:eastAsia="ru-RU"/>
        </w:rPr>
        <w:t>52048</w:t>
      </w:r>
      <w:r>
        <w:rPr>
          <w:rFonts w:ascii="Times New Roman" w:hAnsi="Times New Roman"/>
          <w:bCs/>
          <w:iCs/>
          <w:noProof/>
          <w:lang w:eastAsia="ru-RU"/>
        </w:rPr>
        <w:t xml:space="preserve"> </w:t>
      </w:r>
      <w:r w:rsidRPr="007017DA">
        <w:rPr>
          <w:rFonts w:ascii="Times New Roman" w:hAnsi="Times New Roman"/>
          <w:bCs/>
          <w:iCs/>
          <w:noProof/>
          <w:lang w:eastAsia="ru-RU"/>
        </w:rPr>
        <w:t xml:space="preserve">Candida albicans, нуклеїнові кислоти IVD (діагностика in vitro ), набір, аналіз нуклеїнових кислот; </w:t>
      </w:r>
      <w:r w:rsidRPr="007017DA">
        <w:rPr>
          <w:rFonts w:ascii="Times New Roman" w:hAnsi="Times New Roman"/>
        </w:rPr>
        <w:t xml:space="preserve"> </w:t>
      </w:r>
      <w:r w:rsidRPr="007017DA">
        <w:rPr>
          <w:rFonts w:ascii="Times New Roman" w:hAnsi="Times New Roman"/>
          <w:bCs/>
          <w:iCs/>
          <w:noProof/>
          <w:lang w:eastAsia="ru-RU"/>
        </w:rPr>
        <w:t>50409</w:t>
      </w:r>
      <w:r>
        <w:rPr>
          <w:rFonts w:ascii="Times New Roman" w:hAnsi="Times New Roman"/>
          <w:bCs/>
          <w:iCs/>
          <w:noProof/>
          <w:lang w:eastAsia="ru-RU"/>
        </w:rPr>
        <w:t xml:space="preserve"> </w:t>
      </w:r>
      <w:r w:rsidRPr="007017DA">
        <w:rPr>
          <w:rFonts w:ascii="Times New Roman" w:hAnsi="Times New Roman"/>
          <w:bCs/>
          <w:iCs/>
          <w:noProof/>
          <w:lang w:eastAsia="ru-RU"/>
        </w:rPr>
        <w:t>Множинні мікроорганізми, що передаються статево, нуклеїнова кислота IVD (діагностика in vitro ), набір, аналіз нуклеїнових кислот</w:t>
      </w:r>
      <w:r w:rsidRPr="007017DA">
        <w:rPr>
          <w:rFonts w:ascii="Times New Roman" w:hAnsi="Times New Roman"/>
        </w:rPr>
        <w:t xml:space="preserve"> ; </w:t>
      </w:r>
      <w:r w:rsidRPr="007017DA">
        <w:rPr>
          <w:rFonts w:ascii="Times New Roman" w:hAnsi="Times New Roman"/>
          <w:lang w:eastAsia="ru-RU"/>
        </w:rPr>
        <w:t>57938 Набір для взяття зразків з цервікального каналу без додаткових компонентів;</w:t>
      </w:r>
      <w:r w:rsidRPr="007017DA">
        <w:rPr>
          <w:rFonts w:ascii="Times New Roman" w:hAnsi="Times New Roman"/>
        </w:rPr>
        <w:t xml:space="preserve"> </w:t>
      </w:r>
      <w:r w:rsidRPr="007017DA">
        <w:rPr>
          <w:rFonts w:ascii="Times New Roman" w:hAnsi="Times New Roman"/>
          <w:bCs/>
          <w:iCs/>
          <w:noProof/>
          <w:lang w:eastAsia="ru-RU"/>
        </w:rPr>
        <w:t>52521Екстракція/ізоляція нуклеїнових кислот, набір IVD (діагностика in vitro ); 30798</w:t>
      </w:r>
      <w:r>
        <w:rPr>
          <w:rFonts w:ascii="Times New Roman" w:hAnsi="Times New Roman"/>
          <w:bCs/>
          <w:iCs/>
          <w:noProof/>
          <w:lang w:eastAsia="ru-RU"/>
        </w:rPr>
        <w:t xml:space="preserve"> </w:t>
      </w:r>
      <w:r w:rsidRPr="007017DA">
        <w:rPr>
          <w:rFonts w:ascii="Times New Roman" w:hAnsi="Times New Roman"/>
          <w:bCs/>
          <w:iCs/>
          <w:noProof/>
          <w:lang w:eastAsia="ru-RU"/>
        </w:rPr>
        <w:t>Набір реагентів для кількісного визначення нуклеїнової кислоти цитомегаловірусу;</w:t>
      </w:r>
      <w:r w:rsidRPr="007017DA">
        <w:rPr>
          <w:rFonts w:ascii="Times New Roman" w:hAnsi="Times New Roman"/>
        </w:rPr>
        <w:t xml:space="preserve"> </w:t>
      </w:r>
      <w:r w:rsidRPr="007017DA">
        <w:rPr>
          <w:rFonts w:ascii="Times New Roman" w:hAnsi="Times New Roman"/>
          <w:bCs/>
          <w:iCs/>
          <w:noProof/>
          <w:lang w:eastAsia="ru-RU"/>
        </w:rPr>
        <w:t>49539Вірус простого герпесу 1 і 2 (HSV1 і 2), нуклеїнова кислота IVD (діагностика in vitro ), набір, аналіз нуклеїнових кислот (NAT); 47320Chlamydia trachomatis, нуклеїнова кислота IVD (діагностика in vitro ), набір, аналіз нуклеїнових кислот</w:t>
      </w:r>
      <w:r w:rsidRPr="007017DA">
        <w:rPr>
          <w:rFonts w:ascii="Times New Roman" w:hAnsi="Times New Roman"/>
        </w:rPr>
        <w:t xml:space="preserve">; </w:t>
      </w:r>
      <w:r w:rsidRPr="007017DA">
        <w:rPr>
          <w:rFonts w:ascii="Times New Roman" w:hAnsi="Times New Roman"/>
          <w:bCs/>
          <w:iCs/>
          <w:noProof/>
          <w:lang w:eastAsia="ru-RU"/>
        </w:rPr>
        <w:t xml:space="preserve">47324Mycoplasma genitalium, нуклеїнова кислота IVD (діагностика in vitro ), набір, аналіз нуклеїнових кислот; </w:t>
      </w:r>
      <w:r w:rsidRPr="007017DA">
        <w:rPr>
          <w:rFonts w:ascii="Times New Roman" w:hAnsi="Times New Roman"/>
        </w:rPr>
        <w:t xml:space="preserve"> </w:t>
      </w:r>
      <w:r w:rsidRPr="007017DA">
        <w:rPr>
          <w:rFonts w:ascii="Times New Roman" w:hAnsi="Times New Roman"/>
          <w:bCs/>
          <w:iCs/>
          <w:noProof/>
          <w:lang w:eastAsia="ru-RU"/>
        </w:rPr>
        <w:t xml:space="preserve">63422Мікроплазми хомініс, нуклеїнова кислота IVD (діагностика in vitro ), набір, метод нуклеїнової кислоти (МНК);  50409Множинні мікроорганізми, що передаються статево, нуклеїнова кислота IVD (діагностика in vitro ), набір, аналіз нуклеїнових кислот; 51826Ureaplasma urealyticum, нуклеїнові кислоти IVD (діагностика in vitro ), набір, аналіз нуклеїнових кислот; </w:t>
      </w:r>
      <w:r w:rsidRPr="007017DA">
        <w:rPr>
          <w:rFonts w:ascii="Times New Roman" w:hAnsi="Times New Roman"/>
        </w:rPr>
        <w:t xml:space="preserve"> </w:t>
      </w:r>
      <w:r w:rsidRPr="007017DA">
        <w:rPr>
          <w:rFonts w:ascii="Times New Roman" w:hAnsi="Times New Roman"/>
          <w:bCs/>
          <w:iCs/>
          <w:noProof/>
          <w:lang w:eastAsia="ru-RU"/>
        </w:rPr>
        <w:t xml:space="preserve">51794Treponema pallidum, нуклеїнові кислоти IVD (діагностика in vitro ), набір, аналіз нуклеїнових кислот; </w:t>
      </w:r>
      <w:r w:rsidRPr="007017DA">
        <w:rPr>
          <w:rFonts w:ascii="Times New Roman" w:hAnsi="Times New Roman"/>
        </w:rPr>
        <w:t xml:space="preserve"> </w:t>
      </w:r>
      <w:r w:rsidRPr="007017DA">
        <w:rPr>
          <w:rFonts w:ascii="Times New Roman" w:hAnsi="Times New Roman"/>
          <w:bCs/>
          <w:iCs/>
          <w:noProof/>
          <w:lang w:eastAsia="ru-RU"/>
        </w:rPr>
        <w:t>51235Neisseria gonorrhoeae, нуклеїнові кислоти IVD (діагностика in vitro ), набір, аналіз нуклеїнових кислот;</w:t>
      </w:r>
      <w:r w:rsidRPr="007017DA">
        <w:rPr>
          <w:rFonts w:ascii="Times New Roman" w:hAnsi="Times New Roman"/>
        </w:rPr>
        <w:t xml:space="preserve"> </w:t>
      </w:r>
      <w:r w:rsidRPr="007017DA">
        <w:rPr>
          <w:rFonts w:ascii="Times New Roman" w:hAnsi="Times New Roman"/>
          <w:bCs/>
          <w:iCs/>
          <w:noProof/>
          <w:lang w:eastAsia="ru-RU"/>
        </w:rPr>
        <w:t>48208Множинні організми, пов'язані з вагінітом, нуклеїнова кислота IVD (діагностика in vitro ), набір, аналіз нуклеїнових кисло</w:t>
      </w:r>
      <w:r w:rsidRPr="007017DA">
        <w:rPr>
          <w:rFonts w:ascii="Times New Roman" w:hAnsi="Times New Roman"/>
        </w:rPr>
        <w:t xml:space="preserve">т; </w:t>
      </w:r>
      <w:r w:rsidRPr="007017DA">
        <w:rPr>
          <w:rFonts w:ascii="Times New Roman" w:hAnsi="Times New Roman"/>
          <w:bCs/>
          <w:iCs/>
          <w:noProof/>
          <w:lang w:eastAsia="ru-RU"/>
        </w:rPr>
        <w:t>52475Трихомонада вагінальна, нуклеїнові кислоти IVD (діагностика in vitro ), набір, аналіз нуклеїнових кислот</w:t>
      </w:r>
      <w:r w:rsidRPr="007017DA">
        <w:rPr>
          <w:rFonts w:ascii="Times New Roman" w:hAnsi="Times New Roman"/>
        </w:rPr>
        <w:t xml:space="preserve"> 54386 Тиреоїдний гормон (ТТГ) IVD,  набір, імунохемілюмінесцентний  аналіз, 54417 Вільний трийодтиронін IVD, набір, імунохемілюмінесцентний  аналіз,  54413 Вільний тироксин IVD, набір, імунохемілюмінесцентний аналіз, 58729 Тиреопероксидаза антитіла (АТ ТПО, мікросомальні антитіла) ІВД, набір, імунохемілюмінесцентний аналіз, 30490 Набір реагентів для вимірювання аутоантитіла тиреоглобуліну, 54375 Тиреоглобулін IVD, набір, імунохемілюмінесцентний аналіз, 38246 Лютеїнізуючи</w:t>
      </w:r>
      <w:r>
        <w:rPr>
          <w:rFonts w:ascii="Times New Roman" w:hAnsi="Times New Roman"/>
        </w:rPr>
        <w:t xml:space="preserve">й гормон, комплект, 30322 Набір  </w:t>
      </w:r>
      <w:r w:rsidRPr="007017DA">
        <w:rPr>
          <w:rFonts w:ascii="Times New Roman" w:hAnsi="Times New Roman"/>
        </w:rPr>
        <w:t>реагентів для вимірювання фолікулостимулюючого гормо</w:t>
      </w:r>
      <w:r>
        <w:rPr>
          <w:rFonts w:ascii="Times New Roman" w:hAnsi="Times New Roman"/>
        </w:rPr>
        <w:t>ну, 54335 Пролактин IVD, набір,</w:t>
      </w:r>
      <w:r w:rsidRPr="007017DA">
        <w:rPr>
          <w:rFonts w:ascii="Times New Roman" w:hAnsi="Times New Roman"/>
        </w:rPr>
        <w:t>імунохемілюмінесцентний аналіз, 54322 Прогестерон IVD, набір, імунохемілюмінесцентний аналіз, 61077 Загальний тестостерон ІВД, набір, імунохемілюмінесцентний аналіз, 54360 Зв'язувальний статеві гормони глобулін (SHBG) IVD, набір, імунохемілюмінесцентний аналіз,  60979 Естрадіол ІВД, набір, імунохемілюмінесцентний аналіз, 54215  Бета-субодиниця хоріонічного гонадотропіну людини (бетаХГЛ) IVD, набір, імунохемілюмінесцентний аналіз, 54215 Бета-субодиниця хоріонічного гонадотропіну людини (бетаХГЛ) IVD, набір, імунохемілюмінесцентний аналіз, 54304 Білок А плазми (асоційований з вагітністю)  IVD, реагент, 30283 Набір реагентів для вимірювання ракового антигену 125, 54665 Загальний простатичний специфічний антиген ІВД, набір, імунохемілюмінесцентний аналіз, 54669  Вільний (непов'язаний) простатичний специфічний антиген (ПСА) ІВД, набір, імунохемілюмінесцентний аналіз, 60975 Раковий антиген 15-3 (CA15-3) ІВД, набір, імунохемілюмінесцентний аналіз, 54615  Раково-ембріональний антиген ІВД, набір, імунохемілюмінесцентний аналіз, 53775 Загальний  імуноглобулін Е  (загальний IgE ) IVD, комплект, хемілюмінесцентний імунологічний аналіз, 54125 Загальний кортизол IVD, набір, хемілюмінесцентний імунологічний аналіз, 54139 Дегідроепіандростерон сульфат (DHEAS) IVD, набір, імунохемілюмінесцентний аналіз, 54237 Інсулін IVD, набір, імунохемілюмінесцентний аналіз, 61078 Ферритин ІВД, набір, імунохемілюмінесцентний аналіз, 30350 Набір реагентів для вимірювання вітаміну D, 25- гідроксивітаміну D3, 42235 Моноспецифічний антилюдський сироватковий калібратор, 54084 Кальцитонін IVD, набір, хемілюмін</w:t>
      </w:r>
      <w:r>
        <w:rPr>
          <w:rFonts w:ascii="Times New Roman" w:hAnsi="Times New Roman"/>
        </w:rPr>
        <w:t>есцентний  імунологічний аналіз</w:t>
      </w:r>
      <w:r w:rsidRPr="007017DA">
        <w:rPr>
          <w:rFonts w:ascii="Times New Roman" w:hAnsi="Times New Roman"/>
        </w:rPr>
        <w:t>;</w:t>
      </w:r>
      <w:r>
        <w:rPr>
          <w:rFonts w:ascii="Times New Roman" w:hAnsi="Times New Roman"/>
        </w:rPr>
        <w:t xml:space="preserve"> </w:t>
      </w:r>
      <w:r w:rsidRPr="007017DA">
        <w:rPr>
          <w:rFonts w:ascii="Times New Roman" w:hAnsi="Times New Roman"/>
        </w:rPr>
        <w:t xml:space="preserve">60922 Імунотест  для  </w:t>
      </w:r>
      <w:r w:rsidRPr="007017DA">
        <w:rPr>
          <w:rFonts w:ascii="Times New Roman" w:hAnsi="Times New Roman"/>
        </w:rPr>
        <w:lastRenderedPageBreak/>
        <w:t>кількісного  визначення  СА19-9/СА 19-9; 38272 Тиреотропний гормон (ТТГ) IVD, калiбратор, 38261 Вільний трийодтиронін IVD, калiбратор, 61080 Тест для напівкількісного визначення анти-ЦЦП/</w:t>
      </w:r>
      <w:r w:rsidRPr="007017DA">
        <w:rPr>
          <w:rFonts w:ascii="Times New Roman" w:hAnsi="Times New Roman"/>
          <w:lang w:val="en-US"/>
        </w:rPr>
        <w:t>ANTI</w:t>
      </w:r>
      <w:r w:rsidRPr="007017DA">
        <w:rPr>
          <w:rFonts w:ascii="Times New Roman" w:hAnsi="Times New Roman"/>
        </w:rPr>
        <w:t>-</w:t>
      </w:r>
      <w:r w:rsidRPr="007017DA">
        <w:rPr>
          <w:rFonts w:ascii="Times New Roman" w:hAnsi="Times New Roman"/>
          <w:lang w:val="en-US"/>
        </w:rPr>
        <w:t>CCP</w:t>
      </w:r>
      <w:r w:rsidRPr="007017DA">
        <w:rPr>
          <w:rFonts w:ascii="Times New Roman" w:hAnsi="Times New Roman"/>
        </w:rPr>
        <w:t>; 38259 Вільний тироксин IVD, калiбратор, 30217 Клінічна хімія, однокомпонентний калiбратор, 55205 Тиреопероксидаза антитіла (АТ ТПО, мікросомальні антитіла) ІВД, калiбратор,  41712 Тіреоглобулін IVD, калiбратор, 38270 Лютеїнізуючий гормон IVD, калiбратор, 38255 Фолікулостимулюючий гормон IVD, калiбратор, 54337 Пролактин IVD, калібратор, 54325 Прогестерон IVD, калiбратор, 58381 Загальний тестостерон ІВД, калiбр</w:t>
      </w:r>
      <w:r>
        <w:rPr>
          <w:rFonts w:ascii="Times New Roman" w:hAnsi="Times New Roman"/>
        </w:rPr>
        <w:t>атор, 42181 Глобулін, що зв'язу</w:t>
      </w:r>
      <w:r w:rsidRPr="007017DA">
        <w:rPr>
          <w:rFonts w:ascii="Times New Roman" w:hAnsi="Times New Roman"/>
        </w:rPr>
        <w:t>є статеві гормони, калiбратор, IVD, 38249 Естрадіол IVD, калiбратор, 38263 Загальний хоріонічний гонадотропін людини (ХГЛ) IVD, калiбратор, 42730 Хорионічний гонадотропін людини бета-ядерний фрагмент (бета-ХГЛ), калiбратор, IVD, 54302 Білок А плазми (асоційований з вагітністю) IVD,  калiбратор, 38225 Калібрувальний набір для тесту СА 19-9 IVD, калiбратор ;38231 Раковий анти</w:t>
      </w:r>
      <w:r>
        <w:rPr>
          <w:rFonts w:ascii="Times New Roman" w:hAnsi="Times New Roman"/>
        </w:rPr>
        <w:t>ген 125 (СА125) IVD, калiбратор</w:t>
      </w:r>
      <w:r w:rsidRPr="007017DA">
        <w:rPr>
          <w:rFonts w:ascii="Times New Roman" w:hAnsi="Times New Roman"/>
        </w:rPr>
        <w:t>;</w:t>
      </w:r>
      <w:r>
        <w:rPr>
          <w:rFonts w:ascii="Times New Roman" w:hAnsi="Times New Roman"/>
        </w:rPr>
        <w:t xml:space="preserve"> </w:t>
      </w:r>
      <w:r w:rsidRPr="007017DA">
        <w:rPr>
          <w:rFonts w:ascii="Times New Roman" w:hAnsi="Times New Roman"/>
        </w:rPr>
        <w:t>38208 Загальний простатичний специфічний антиген (ПСА) IVD, калiбратор, 38183 Вільний (непов'язаний) простатичний специфічний антиген (ПСА) IVD, калiбратор, 38223 Раковий антиген 15-3 (СА15-3) IVD, калiбратор, 38174  Раково-ембріональний антиген IVD, калiбратор, 41348  Аллерген-специфічний імуноглобулін Е (IgE) антитіло IVD, калiбратор, 54126 Загальний кортизол IVD, калiбратор, 5489 Набір контрольних сироваток Анти-ЦЦП; 41896 Дегідроепіандростерон (DHEA) IVD, калiбратор, 42091 Інсулін IVD, калiбратор, 41927 Ферритин IVD, калiбратор, 41840 Кальцитонін IVD, калiбратор, 30217 Клінічна хімія, однокомпонентний калібратор, 58793 Реагент для генерації сигналу при Імунохемілюмінесцентні аналізі ІВД, набір, 59058 Миючий / очищуючий розчин ІВД, для ав</w:t>
      </w:r>
      <w:r>
        <w:rPr>
          <w:rFonts w:ascii="Times New Roman" w:hAnsi="Times New Roman"/>
        </w:rPr>
        <w:t>томатизованих / напівавтоматизова</w:t>
      </w:r>
      <w:r w:rsidRPr="007017DA">
        <w:rPr>
          <w:rFonts w:ascii="Times New Roman" w:hAnsi="Times New Roman"/>
        </w:rPr>
        <w:t xml:space="preserve">них систем, 58237 Буферний розчинник зразків ІВД, автоматичні / напівавтоматичні системи, 38220 Множинні тканеспеціфічниі білки / пухлинні маркери IVD, контрольний матеріал, 38265 Хоріонічний гонадотропін людини бета-субодиниця (бета ХГЛ) IVD, контрольний матеріал, 47869 Множинні аналіти клінічної хімії IVD, контрольний матеріал, 61249 Щитовидна залоза Числені маркери ІВД, контрольний матеріал,54018 набір контрольних сироваток PreciControl </w:t>
      </w:r>
      <w:r w:rsidRPr="007017DA">
        <w:rPr>
          <w:rFonts w:ascii="Times New Roman" w:hAnsi="Times New Roman"/>
          <w:lang w:val="en-US"/>
        </w:rPr>
        <w:t>Multimarker</w:t>
      </w:r>
      <w:r w:rsidRPr="007017DA">
        <w:rPr>
          <w:rFonts w:ascii="Times New Roman" w:hAnsi="Times New Roman"/>
        </w:rPr>
        <w:t>; 61032 Кювети для лабораторного аналізатора ІВД, одноразового використання, 63337 Кінчик піпетки ІВД, (реагенти та розхідні матеріали для автоматичного електрохемілюмінесцентного  аналізатора Cobas e 411, виробництва Roche).</w:t>
      </w:r>
    </w:p>
    <w:p w:rsidR="00E7057A" w:rsidRPr="00EB5F50" w:rsidRDefault="00E7057A" w:rsidP="00E7057A">
      <w:pPr>
        <w:snapToGrid w:val="0"/>
        <w:spacing w:after="0" w:line="240" w:lineRule="auto"/>
        <w:contextualSpacing/>
        <w:jc w:val="center"/>
        <w:rPr>
          <w:rFonts w:ascii="Times New Roman" w:hAnsi="Times New Roman"/>
          <w:b/>
          <w:lang w:eastAsia="ru-RU"/>
        </w:rPr>
      </w:pPr>
      <w:r w:rsidRPr="00EB5F50">
        <w:rPr>
          <w:rFonts w:ascii="Times New Roman" w:hAnsi="Times New Roman"/>
          <w:b/>
          <w:lang w:eastAsia="ru-RU"/>
        </w:rPr>
        <w:t xml:space="preserve">Медико-технічні, якісні та кількісні характеристики предмета закупівлі </w:t>
      </w:r>
    </w:p>
    <w:p w:rsidR="00E7057A" w:rsidRPr="00EB5F50" w:rsidRDefault="00E7057A" w:rsidP="00E7057A">
      <w:pPr>
        <w:snapToGrid w:val="0"/>
        <w:spacing w:after="0" w:line="240" w:lineRule="auto"/>
        <w:contextualSpacing/>
        <w:jc w:val="center"/>
        <w:rPr>
          <w:rFonts w:ascii="Times New Roman" w:hAnsi="Times New Roman"/>
          <w:b/>
          <w:bCs/>
          <w:lang w:eastAsia="ru-RU"/>
        </w:rPr>
      </w:pPr>
      <w:r w:rsidRPr="00EB5F50">
        <w:rPr>
          <w:rFonts w:ascii="Times New Roman" w:hAnsi="Times New Roman"/>
          <w:b/>
          <w:bCs/>
          <w:lang w:eastAsia="ru-RU"/>
        </w:rPr>
        <w:t>(Медико-технічні вимоги (далі - МТВ))</w:t>
      </w:r>
    </w:p>
    <w:p w:rsidR="00E7057A" w:rsidRPr="00EB5F50" w:rsidRDefault="00E7057A" w:rsidP="00E7057A">
      <w:pPr>
        <w:snapToGrid w:val="0"/>
        <w:spacing w:after="0" w:line="240" w:lineRule="auto"/>
        <w:contextualSpacing/>
        <w:jc w:val="center"/>
        <w:rPr>
          <w:rFonts w:ascii="Times New Roman" w:hAnsi="Times New Roman"/>
          <w:b/>
          <w:bCs/>
          <w:lang w:eastAsia="ru-RU"/>
        </w:rPr>
      </w:pPr>
    </w:p>
    <w:p w:rsidR="00E7057A" w:rsidRPr="00EB5F50" w:rsidRDefault="00E7057A" w:rsidP="00E7057A">
      <w:pPr>
        <w:suppressAutoHyphens/>
        <w:spacing w:after="0" w:line="211" w:lineRule="atLeast"/>
        <w:jc w:val="center"/>
        <w:rPr>
          <w:rFonts w:ascii="Times New Roman" w:hAnsi="Times New Roman"/>
          <w:b/>
          <w:bCs/>
        </w:rPr>
      </w:pPr>
      <w:r w:rsidRPr="00EB5F50">
        <w:rPr>
          <w:rFonts w:ascii="Times New Roman" w:hAnsi="Times New Roman"/>
          <w:b/>
          <w:bCs/>
        </w:rPr>
        <w:t xml:space="preserve">ДК 021:2015 33690000-3 «Лікарські засоби різні» </w:t>
      </w:r>
    </w:p>
    <w:p w:rsidR="00E7057A" w:rsidRDefault="00E7057A" w:rsidP="00E7057A">
      <w:pPr>
        <w:spacing w:after="0" w:line="240" w:lineRule="auto"/>
        <w:ind w:firstLine="708"/>
        <w:jc w:val="center"/>
        <w:rPr>
          <w:rFonts w:ascii="Times New Roman" w:hAnsi="Times New Roman"/>
          <w:b/>
          <w:color w:val="222222"/>
          <w:sz w:val="28"/>
          <w:szCs w:val="28"/>
          <w:shd w:val="clear" w:color="auto" w:fill="FFFFFF"/>
        </w:rPr>
      </w:pPr>
      <w:r>
        <w:rPr>
          <w:rFonts w:ascii="Times New Roman" w:hAnsi="Times New Roman"/>
          <w:b/>
        </w:rPr>
        <w:t xml:space="preserve"> </w:t>
      </w:r>
      <w:r w:rsidRPr="00E231BC">
        <w:rPr>
          <w:rFonts w:ascii="Times New Roman" w:hAnsi="Times New Roman"/>
          <w:b/>
          <w:color w:val="222222"/>
          <w:sz w:val="28"/>
          <w:szCs w:val="28"/>
          <w:shd w:val="clear" w:color="auto" w:fill="FFFFFF"/>
        </w:rPr>
        <w:t xml:space="preserve">Реагенти </w:t>
      </w:r>
      <w:r>
        <w:rPr>
          <w:rFonts w:ascii="Times New Roman" w:hAnsi="Times New Roman"/>
          <w:b/>
          <w:color w:val="222222"/>
          <w:sz w:val="28"/>
          <w:szCs w:val="28"/>
          <w:shd w:val="clear" w:color="auto" w:fill="FFFFFF"/>
        </w:rPr>
        <w:t>та витратні матеріали для проведення ПЛР</w:t>
      </w:r>
    </w:p>
    <w:p w:rsidR="00E7057A" w:rsidRPr="00E7057A" w:rsidRDefault="00E7057A" w:rsidP="00E7057A">
      <w:pPr>
        <w:spacing w:after="0" w:line="240" w:lineRule="auto"/>
        <w:ind w:firstLine="708"/>
        <w:jc w:val="center"/>
        <w:rPr>
          <w:rFonts w:ascii="Times New Roman" w:hAnsi="Times New Roman"/>
          <w:b/>
          <w:color w:val="222222"/>
          <w:sz w:val="28"/>
          <w:szCs w:val="28"/>
          <w:shd w:val="clear" w:color="auto" w:fill="FFFFFF"/>
          <w:lang w:val="ru-RU"/>
        </w:rPr>
      </w:pPr>
      <w:r>
        <w:rPr>
          <w:rFonts w:ascii="Times New Roman" w:hAnsi="Times New Roman"/>
          <w:b/>
          <w:color w:val="222222"/>
          <w:sz w:val="28"/>
          <w:szCs w:val="28"/>
          <w:shd w:val="clear" w:color="auto" w:fill="FFFFFF"/>
        </w:rPr>
        <w:t xml:space="preserve"> та досліджень на </w:t>
      </w:r>
      <w:r>
        <w:rPr>
          <w:rFonts w:ascii="Times New Roman" w:hAnsi="Times New Roman"/>
          <w:b/>
          <w:color w:val="222222"/>
          <w:sz w:val="28"/>
          <w:szCs w:val="28"/>
          <w:shd w:val="clear" w:color="auto" w:fill="FFFFFF"/>
          <w:lang w:val="en-US"/>
        </w:rPr>
        <w:t>Cobas</w:t>
      </w:r>
      <w:r w:rsidRPr="00E7057A">
        <w:rPr>
          <w:rFonts w:ascii="Times New Roman" w:hAnsi="Times New Roman"/>
          <w:b/>
          <w:color w:val="222222"/>
          <w:sz w:val="28"/>
          <w:szCs w:val="28"/>
          <w:shd w:val="clear" w:color="auto" w:fill="FFFFFF"/>
          <w:lang w:val="ru-RU"/>
        </w:rPr>
        <w:t xml:space="preserve"> </w:t>
      </w:r>
      <w:r>
        <w:rPr>
          <w:rFonts w:ascii="Times New Roman" w:hAnsi="Times New Roman"/>
          <w:b/>
          <w:color w:val="222222"/>
          <w:sz w:val="28"/>
          <w:szCs w:val="28"/>
          <w:shd w:val="clear" w:color="auto" w:fill="FFFFFF"/>
          <w:lang w:val="en-US"/>
        </w:rPr>
        <w:t>e</w:t>
      </w:r>
      <w:r w:rsidRPr="00E7057A">
        <w:rPr>
          <w:rFonts w:ascii="Times New Roman" w:hAnsi="Times New Roman"/>
          <w:b/>
          <w:color w:val="222222"/>
          <w:sz w:val="28"/>
          <w:szCs w:val="28"/>
          <w:shd w:val="clear" w:color="auto" w:fill="FFFFFF"/>
          <w:lang w:val="ru-RU"/>
        </w:rPr>
        <w:t xml:space="preserve"> 411</w:t>
      </w:r>
    </w:p>
    <w:p w:rsidR="00E7057A" w:rsidRPr="006F433A" w:rsidRDefault="00E7057A" w:rsidP="00E7057A">
      <w:pPr>
        <w:spacing w:after="0" w:line="240" w:lineRule="auto"/>
        <w:jc w:val="center"/>
        <w:rPr>
          <w:rFonts w:ascii="Times New Roman" w:hAnsi="Times New Roman"/>
          <w:b/>
          <w:sz w:val="32"/>
          <w:szCs w:val="32"/>
          <w:u w:val="single"/>
          <w:lang w:val="ru-RU"/>
        </w:rPr>
      </w:pPr>
    </w:p>
    <w:p w:rsidR="00E7057A" w:rsidRDefault="00E7057A" w:rsidP="00E7057A">
      <w:pPr>
        <w:ind w:right="262"/>
        <w:jc w:val="center"/>
        <w:rPr>
          <w:rFonts w:ascii="Times New Roman" w:hAnsi="Times New Roman"/>
          <w:b/>
          <w:sz w:val="20"/>
          <w:szCs w:val="20"/>
          <w:u w:val="single"/>
        </w:rPr>
      </w:pPr>
      <w:r w:rsidRPr="00EB5F50">
        <w:rPr>
          <w:rFonts w:ascii="Times New Roman" w:hAnsi="Times New Roman"/>
          <w:b/>
          <w:sz w:val="20"/>
          <w:szCs w:val="20"/>
          <w:u w:val="single"/>
        </w:rPr>
        <w:t>Інформація про необхідні технічні, якісні та кількісні характеристики предмета закупівлі, а саме: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776"/>
        <w:gridCol w:w="709"/>
        <w:gridCol w:w="708"/>
        <w:gridCol w:w="426"/>
        <w:gridCol w:w="1426"/>
        <w:gridCol w:w="1134"/>
        <w:gridCol w:w="3818"/>
      </w:tblGrid>
      <w:tr w:rsidR="00E7057A" w:rsidRPr="00CE6065" w:rsidTr="00665385">
        <w:trPr>
          <w:trHeight w:val="20"/>
        </w:trPr>
        <w:tc>
          <w:tcPr>
            <w:tcW w:w="493" w:type="dxa"/>
            <w:shd w:val="clear" w:color="auto" w:fill="auto"/>
            <w:vAlign w:val="bottom"/>
            <w:hideMark/>
          </w:tcPr>
          <w:p w:rsidR="00E7057A" w:rsidRPr="00CE6065" w:rsidRDefault="00E7057A" w:rsidP="00E7057A">
            <w:pPr>
              <w:spacing w:after="0" w:line="240" w:lineRule="auto"/>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8"/>
                <w:szCs w:val="18"/>
                <w:lang w:eastAsia="ru-RU"/>
              </w:rPr>
              <w:t>№ з/п</w:t>
            </w:r>
          </w:p>
        </w:tc>
        <w:tc>
          <w:tcPr>
            <w:tcW w:w="1776" w:type="dxa"/>
            <w:shd w:val="clear" w:color="auto" w:fill="auto"/>
            <w:vAlign w:val="bottom"/>
            <w:hideMark/>
          </w:tcPr>
          <w:p w:rsidR="00E7057A" w:rsidRPr="00CE6065" w:rsidRDefault="00E7057A" w:rsidP="00E7057A">
            <w:pPr>
              <w:spacing w:after="0" w:line="240" w:lineRule="auto"/>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8"/>
                <w:szCs w:val="18"/>
                <w:lang w:eastAsia="ru-RU"/>
              </w:rPr>
              <w:t xml:space="preserve">Найменування </w:t>
            </w:r>
            <w:r>
              <w:rPr>
                <w:rFonts w:ascii="Times New Roman" w:eastAsia="Times New Roman" w:hAnsi="Times New Roman"/>
                <w:b/>
                <w:bCs/>
                <w:noProof/>
                <w:color w:val="000000"/>
                <w:sz w:val="18"/>
                <w:szCs w:val="18"/>
                <w:lang w:eastAsia="ru-RU"/>
              </w:rPr>
              <w:t>товару</w:t>
            </w:r>
            <w:r w:rsidRPr="00CE6065">
              <w:rPr>
                <w:rFonts w:ascii="Times New Roman" w:eastAsia="Times New Roman" w:hAnsi="Times New Roman"/>
                <w:b/>
                <w:bCs/>
                <w:noProof/>
                <w:color w:val="000000"/>
                <w:sz w:val="18"/>
                <w:szCs w:val="18"/>
                <w:lang w:eastAsia="ru-RU"/>
              </w:rPr>
              <w:t>, що закуповується*</w:t>
            </w:r>
          </w:p>
        </w:tc>
        <w:tc>
          <w:tcPr>
            <w:tcW w:w="709" w:type="dxa"/>
            <w:vAlign w:val="bottom"/>
          </w:tcPr>
          <w:p w:rsidR="00E7057A" w:rsidRPr="00CE6065" w:rsidRDefault="00E7057A" w:rsidP="00E7057A">
            <w:pPr>
              <w:spacing w:after="0" w:line="240" w:lineRule="auto"/>
              <w:ind w:left="-66" w:right="-72"/>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8"/>
                <w:szCs w:val="18"/>
                <w:lang w:eastAsia="ru-RU"/>
              </w:rPr>
              <w:t>Фасу-вання</w:t>
            </w:r>
          </w:p>
        </w:tc>
        <w:tc>
          <w:tcPr>
            <w:tcW w:w="708" w:type="dxa"/>
            <w:shd w:val="clear" w:color="auto" w:fill="auto"/>
            <w:vAlign w:val="bottom"/>
            <w:hideMark/>
          </w:tcPr>
          <w:p w:rsidR="00E7057A" w:rsidRPr="00CE6065" w:rsidRDefault="00E7057A" w:rsidP="00E7057A">
            <w:pPr>
              <w:spacing w:after="0" w:line="240" w:lineRule="auto"/>
              <w:ind w:left="-69" w:right="-94"/>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8"/>
                <w:szCs w:val="18"/>
                <w:lang w:eastAsia="ru-RU"/>
              </w:rPr>
              <w:t>Од. виміру</w:t>
            </w:r>
          </w:p>
        </w:tc>
        <w:tc>
          <w:tcPr>
            <w:tcW w:w="426" w:type="dxa"/>
            <w:shd w:val="clear" w:color="auto" w:fill="auto"/>
            <w:vAlign w:val="bottom"/>
            <w:hideMark/>
          </w:tcPr>
          <w:p w:rsidR="00E7057A" w:rsidRPr="00CE6065" w:rsidRDefault="00E7057A" w:rsidP="00E7057A">
            <w:pPr>
              <w:spacing w:after="0" w:line="240" w:lineRule="auto"/>
              <w:ind w:left="-111" w:right="-47"/>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8"/>
                <w:szCs w:val="18"/>
                <w:lang w:eastAsia="ru-RU"/>
              </w:rPr>
              <w:t>Кіль</w:t>
            </w:r>
            <w:r w:rsidRPr="00CE6065">
              <w:rPr>
                <w:rFonts w:ascii="Times New Roman" w:eastAsia="Times New Roman" w:hAnsi="Times New Roman"/>
                <w:b/>
                <w:bCs/>
                <w:noProof/>
                <w:color w:val="000000"/>
                <w:sz w:val="18"/>
                <w:szCs w:val="18"/>
                <w:lang w:val="en-US" w:eastAsia="ru-RU"/>
              </w:rPr>
              <w:t>-</w:t>
            </w:r>
            <w:r w:rsidRPr="00CE6065">
              <w:rPr>
                <w:rFonts w:ascii="Times New Roman" w:eastAsia="Times New Roman" w:hAnsi="Times New Roman"/>
                <w:b/>
                <w:bCs/>
                <w:noProof/>
                <w:color w:val="000000"/>
                <w:sz w:val="18"/>
                <w:szCs w:val="18"/>
                <w:lang w:eastAsia="ru-RU"/>
              </w:rPr>
              <w:t>кість, од.</w:t>
            </w:r>
          </w:p>
        </w:tc>
        <w:tc>
          <w:tcPr>
            <w:tcW w:w="1426" w:type="dxa"/>
            <w:vAlign w:val="bottom"/>
          </w:tcPr>
          <w:p w:rsidR="00E7057A" w:rsidRPr="00CE6065" w:rsidRDefault="00E7057A" w:rsidP="00E7057A">
            <w:pPr>
              <w:spacing w:after="0" w:line="240" w:lineRule="auto"/>
              <w:ind w:left="-111" w:right="-47"/>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8"/>
                <w:szCs w:val="18"/>
                <w:lang w:eastAsia="ru-RU"/>
              </w:rPr>
              <w:t>НК 024:2023</w:t>
            </w:r>
          </w:p>
        </w:tc>
        <w:tc>
          <w:tcPr>
            <w:tcW w:w="1134" w:type="dxa"/>
            <w:vAlign w:val="bottom"/>
          </w:tcPr>
          <w:p w:rsidR="00E7057A" w:rsidRPr="00CE6065" w:rsidRDefault="00E7057A" w:rsidP="00E7057A">
            <w:pPr>
              <w:spacing w:after="0" w:line="240" w:lineRule="auto"/>
              <w:ind w:left="-111" w:right="-47"/>
              <w:jc w:val="center"/>
              <w:rPr>
                <w:rFonts w:ascii="Times New Roman" w:eastAsia="Times New Roman" w:hAnsi="Times New Roman"/>
                <w:b/>
                <w:bCs/>
                <w:noProof/>
                <w:color w:val="000000"/>
                <w:sz w:val="18"/>
                <w:szCs w:val="18"/>
                <w:lang w:eastAsia="ru-RU"/>
              </w:rPr>
            </w:pPr>
            <w:r w:rsidRPr="00CE6065">
              <w:rPr>
                <w:rFonts w:ascii="Times New Roman" w:eastAsia="Times New Roman" w:hAnsi="Times New Roman"/>
                <w:b/>
                <w:bCs/>
                <w:noProof/>
                <w:color w:val="000000"/>
                <w:sz w:val="16"/>
                <w:szCs w:val="18"/>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3818" w:type="dxa"/>
            <w:vAlign w:val="bottom"/>
          </w:tcPr>
          <w:p w:rsidR="00E7057A" w:rsidRPr="00447D12" w:rsidRDefault="00E7057A" w:rsidP="00E7057A">
            <w:pPr>
              <w:spacing w:after="0" w:line="240" w:lineRule="auto"/>
              <w:ind w:left="-111" w:right="-47"/>
              <w:jc w:val="center"/>
              <w:rPr>
                <w:rFonts w:ascii="Times New Roman" w:eastAsia="Times New Roman" w:hAnsi="Times New Roman"/>
                <w:b/>
                <w:bCs/>
                <w:noProof/>
                <w:color w:val="000000"/>
                <w:sz w:val="18"/>
                <w:szCs w:val="18"/>
                <w:lang w:eastAsia="ru-RU"/>
              </w:rPr>
            </w:pPr>
            <w:r w:rsidRPr="00447D12">
              <w:rPr>
                <w:rFonts w:ascii="Times New Roman" w:eastAsia="Times New Roman" w:hAnsi="Times New Roman"/>
                <w:b/>
                <w:bCs/>
                <w:noProof/>
                <w:color w:val="000000"/>
                <w:sz w:val="18"/>
                <w:szCs w:val="18"/>
                <w:lang w:eastAsia="ru-RU"/>
              </w:rPr>
              <w:t>Специфічні та/або медико-технічні вимоги</w:t>
            </w:r>
            <w:r>
              <w:rPr>
                <w:rFonts w:ascii="Times New Roman" w:eastAsia="Times New Roman" w:hAnsi="Times New Roman"/>
                <w:b/>
                <w:bCs/>
                <w:noProof/>
                <w:color w:val="000000"/>
                <w:sz w:val="18"/>
                <w:szCs w:val="18"/>
                <w:lang w:eastAsia="ru-RU"/>
              </w:rPr>
              <w:t>,</w:t>
            </w:r>
            <w:r w:rsidRPr="00447D12">
              <w:rPr>
                <w:rFonts w:ascii="Times New Roman" w:eastAsia="Times New Roman" w:hAnsi="Times New Roman"/>
                <w:b/>
                <w:bCs/>
                <w:noProof/>
                <w:color w:val="000000"/>
                <w:sz w:val="18"/>
                <w:szCs w:val="18"/>
                <w:lang w:eastAsia="ru-RU"/>
              </w:rPr>
              <w:t xml:space="preserve"> що потребують документального підтвердження</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Candidaalbicans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52048</w:t>
            </w:r>
            <w:r w:rsidRPr="00AC4006">
              <w:rPr>
                <w:rFonts w:ascii="Times New Roman" w:hAnsi="Times New Roman"/>
                <w:bCs/>
                <w:iCs/>
                <w:noProof/>
                <w:sz w:val="18"/>
                <w:szCs w:val="20"/>
                <w:lang w:eastAsia="ru-RU"/>
              </w:rPr>
              <w:t>Candida albicans, нуклеїнові кислоти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Принцип аналізу базується на проведені моноплексної ПЛР у реальному часі з гібридизаційно-флуоресцентною детекцією.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Реєстрація реакції – флуориметричний  метод по двом каналам: FAM/ Green та контроль біоматеріалу по каналу HEX/Yellow.</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Формат: на 96 реакцій.</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Аналітична чутливість 1*103 копій/мл ( копій специфічної ДНК-мішені на 1 мл біологічного зразка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чутливість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специфічність не менше 98%.</w:t>
            </w:r>
          </w:p>
          <w:p w:rsidR="00E7057A"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Зразок для аналізу: урогенітальний зішкріб.</w:t>
            </w:r>
          </w:p>
          <w:p w:rsidR="00E7057A" w:rsidRPr="00DF0D58"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Буфер, готовий до використання (1.5 мл), прозора рідина від безбарвного до рожевого </w:t>
            </w:r>
            <w:r w:rsidRPr="00DF0D58">
              <w:rPr>
                <w:rFonts w:ascii="Times New Roman" w:hAnsi="Times New Roman"/>
                <w:bCs/>
                <w:iCs/>
                <w:noProof/>
                <w:sz w:val="18"/>
                <w:szCs w:val="20"/>
                <w:lang w:eastAsia="ru-RU"/>
              </w:rPr>
              <w:lastRenderedPageBreak/>
              <w:t>кольору.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ПКЗ – позитивний контрольний зразок, готовий до використання ( 1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НКЗ– негативний контрольний зразок, готовий до використання ( 1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Ureaplasmaurealyticum, Chlamydiatrachomatis, Mycoplasmagenitalium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50409</w:t>
            </w:r>
            <w:r w:rsidRPr="00AC4006">
              <w:rPr>
                <w:rFonts w:ascii="Times New Roman" w:hAnsi="Times New Roman"/>
                <w:bCs/>
                <w:iCs/>
                <w:noProof/>
                <w:sz w:val="18"/>
                <w:szCs w:val="20"/>
                <w:lang w:eastAsia="ru-RU"/>
              </w:rPr>
              <w:t>Множинні мікроорганізми, що передаються статево, 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Принцип аналізу – проведення мультиплексної ПЛР у реальному часі з гібридизаційно-флуоресцентною детекцією.</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Реєстрація реакції – флуориметричний  метод по чотирьох каналам: FAM/Green для виявлення Ureaplasma urealyticum, ROX/Orange для Chlamydia trachomatis, Cy5/Red для Mycoplasma genitalium  та контроль біоматеріалу по каналу HEX/Yellow.</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Формат: на 96 реакцій.</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Чутливість: 1х103*копій/мл (копій специфічної ДНК-мішені на 1 мл біологічного зразка).</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Діагностична чутливість – не менше 98%.</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Діагностична специфічність набору складає не менше 98%.</w:t>
            </w:r>
          </w:p>
          <w:p w:rsidR="00E7057A"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Зразок для аналізу: зішкріб епітелію з урогенітального тракту, cекрет передміхурової залози, осад сечі, сперма.</w:t>
            </w:r>
          </w:p>
          <w:p w:rsidR="00E7057A" w:rsidRPr="00866AED"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866AED"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ПКЗ, готовий до використання (1.0 мл), прозора безбарвна рідина.</w:t>
            </w:r>
          </w:p>
          <w:p w:rsidR="00E7057A" w:rsidRDefault="00E7057A" w:rsidP="00E7057A">
            <w:pPr>
              <w:spacing w:after="0" w:line="240" w:lineRule="auto"/>
              <w:rPr>
                <w:rFonts w:ascii="Times New Roman" w:hAnsi="Times New Roman"/>
                <w:bCs/>
                <w:iCs/>
                <w:noProof/>
                <w:sz w:val="18"/>
                <w:szCs w:val="20"/>
                <w:lang w:eastAsia="ru-RU"/>
              </w:rPr>
            </w:pPr>
            <w:r w:rsidRPr="00866AED">
              <w:rPr>
                <w:rFonts w:ascii="Times New Roman" w:hAnsi="Times New Roman"/>
                <w:bCs/>
                <w:iCs/>
                <w:noProof/>
                <w:sz w:val="18"/>
                <w:szCs w:val="20"/>
                <w:lang w:eastAsia="ru-RU"/>
              </w:rPr>
              <w:t>НКЗ – негативний контрольний зразок, готовий до використання (1.0 мл) прозора безбарвна рідина.</w:t>
            </w:r>
            <w:r>
              <w:rPr>
                <w:rFonts w:ascii="Times New Roman" w:hAnsi="Times New Roman"/>
                <w:bCs/>
                <w:iCs/>
                <w:noProof/>
                <w:sz w:val="18"/>
                <w:szCs w:val="20"/>
                <w:lang w:eastAsia="ru-RU"/>
              </w:rPr>
              <w:tab/>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Mycoplasmahominis, Gardnerellavaginalis, Ureaplasmaparvum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50409 </w:t>
            </w:r>
            <w:r w:rsidRPr="00AC4006">
              <w:rPr>
                <w:rFonts w:ascii="Times New Roman" w:hAnsi="Times New Roman"/>
                <w:bCs/>
                <w:iCs/>
                <w:noProof/>
                <w:sz w:val="18"/>
                <w:szCs w:val="20"/>
                <w:lang w:eastAsia="ru-RU"/>
              </w:rPr>
              <w:t>Множинні мікроорганізми, що передаються статево, 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 xml:space="preserve">Принцип аналізу – проведення мультиплексної ПЛР у реальному часі з гібридизаційно-флуоресцентною детекцією. </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Реєстрація реакції – флуориметричний  метод по чотирьох каналам: FAM/Green для виявлення Mycoplasma hominis, ROX/Orange для Gardnerella vaginalis, Cy5/Red для Ureaplasma parvum та контроль біоматеріалу по каналу HEX/Yellow.</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Формат: на 96 реакцій.</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Чутливість: 1х103*копій/мл (копій специфічної ДНК-мішені на 1 мл біологічного зразка).</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Діагностична чутливість – не менше 98%.</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Діагностична специфічність набору складає не менше 98%.</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Зразок для аналізу: зішкріби епітелію з урогенітального тракту, секрет передміхурової залози, осад сечі, сперма.</w:t>
            </w:r>
          </w:p>
          <w:p w:rsidR="00E7057A" w:rsidRPr="00F05BA0"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ПКЗ, готовий до використання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НКЗ – негативний контрольний зразок, готовий до використання (1 мл) прозора безбарвна рідина.</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реагентів для виявлення ДНК Herpessimplexvirus 1 та 2 типу, </w:t>
            </w:r>
            <w:r w:rsidRPr="00CE6065">
              <w:rPr>
                <w:rFonts w:ascii="Times New Roman" w:hAnsi="Times New Roman"/>
                <w:color w:val="000000"/>
                <w:sz w:val="18"/>
                <w:szCs w:val="18"/>
              </w:rPr>
              <w:lastRenderedPageBreak/>
              <w:t>Neisseriagonorrhoeae, Trichomonasvaginalis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lastRenderedPageBreak/>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50409 </w:t>
            </w:r>
            <w:r w:rsidRPr="00AC4006">
              <w:rPr>
                <w:rFonts w:ascii="Times New Roman" w:hAnsi="Times New Roman"/>
                <w:bCs/>
                <w:iCs/>
                <w:noProof/>
                <w:sz w:val="18"/>
                <w:szCs w:val="20"/>
                <w:lang w:eastAsia="ru-RU"/>
              </w:rPr>
              <w:t xml:space="preserve">Множинні мікроорганізми, що передаються статево, </w:t>
            </w:r>
            <w:r w:rsidRPr="00AC4006">
              <w:rPr>
                <w:rFonts w:ascii="Times New Roman" w:hAnsi="Times New Roman"/>
                <w:bCs/>
                <w:iCs/>
                <w:noProof/>
                <w:sz w:val="18"/>
                <w:szCs w:val="20"/>
                <w:lang w:eastAsia="ru-RU"/>
              </w:rPr>
              <w:lastRenderedPageBreak/>
              <w:t>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lastRenderedPageBreak/>
              <w:t>33694000-1</w:t>
            </w:r>
          </w:p>
        </w:tc>
        <w:tc>
          <w:tcPr>
            <w:tcW w:w="3818" w:type="dxa"/>
          </w:tcPr>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 xml:space="preserve">Принцип аналізу – проведення мультиплексної ПЛР у реальному часі з гібридизаційно-флуоресцентною детекцією.. </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 xml:space="preserve">Реєстрація реакції – флуориметричний  метод </w:t>
            </w:r>
            <w:r w:rsidRPr="00F05BA0">
              <w:rPr>
                <w:rFonts w:ascii="Times New Roman" w:hAnsi="Times New Roman"/>
                <w:bCs/>
                <w:iCs/>
                <w:noProof/>
                <w:sz w:val="18"/>
                <w:szCs w:val="20"/>
                <w:lang w:eastAsia="ru-RU"/>
              </w:rPr>
              <w:lastRenderedPageBreak/>
              <w:t>по чотирьох каналам: FAM/Green для виявлення Herpes simplex virus 1 та 2 типу, ROX/Orange для Neisseria gonorrhoeae, Cy5/Red для Trichomonas vaginalis та контроль біоматеріалу по каналу HEX/Yellow.</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Формат: на 96 реакцій</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Чутливість: 1х103*копій/мл (копій специфічної ДНК-мішені на 1 мл біологічного зразка).</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Діагностична чутливість – не менше 98%.</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Діагностична специфічність набору складає не менше 98%.</w:t>
            </w:r>
          </w:p>
          <w:p w:rsidR="00E7057A"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Зразок для аналізу: зішкріби з поверхні уретри, цервікального каналу, піхви.</w:t>
            </w:r>
          </w:p>
          <w:p w:rsidR="00E7057A" w:rsidRPr="00F05BA0"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F05BA0"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ПКЗ, готовий до використання (1 мл), прозора безбарвна рідина.</w:t>
            </w:r>
          </w:p>
          <w:p w:rsidR="00E7057A" w:rsidRDefault="00E7057A" w:rsidP="00E7057A">
            <w:pPr>
              <w:spacing w:after="0" w:line="240" w:lineRule="auto"/>
              <w:rPr>
                <w:rFonts w:ascii="Times New Roman" w:hAnsi="Times New Roman"/>
                <w:bCs/>
                <w:iCs/>
                <w:noProof/>
                <w:sz w:val="18"/>
                <w:szCs w:val="20"/>
                <w:lang w:eastAsia="ru-RU"/>
              </w:rPr>
            </w:pPr>
            <w:r w:rsidRPr="00F05BA0">
              <w:rPr>
                <w:rFonts w:ascii="Times New Roman" w:hAnsi="Times New Roman"/>
                <w:bCs/>
                <w:iCs/>
                <w:noProof/>
                <w:sz w:val="18"/>
                <w:szCs w:val="20"/>
                <w:lang w:eastAsia="ru-RU"/>
              </w:rPr>
              <w:t>НКЗ – негативний контрольний зразок, готовий до використання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Реагент для транспортування та зберігання клінічного матеріалу (упаковка на 100 пробірок (1.5мл) по 1мл реагенту UTM)</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Pr>
                <w:rFonts w:ascii="Times New Roman" w:hAnsi="Times New Roman"/>
                <w:color w:val="000000"/>
                <w:sz w:val="18"/>
                <w:szCs w:val="18"/>
              </w:rPr>
              <w:t>100 шт</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Pr>
                <w:rFonts w:ascii="Times New Roman" w:hAnsi="Times New Roman"/>
                <w:color w:val="000000"/>
                <w:sz w:val="18"/>
                <w:szCs w:val="18"/>
              </w:rPr>
              <w:t>уп</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EC4FA5" w:rsidRDefault="00E7057A" w:rsidP="00E7057A">
            <w:pPr>
              <w:jc w:val="center"/>
              <w:rPr>
                <w:rFonts w:ascii="Times New Roman" w:hAnsi="Times New Roman"/>
                <w:sz w:val="18"/>
                <w:szCs w:val="20"/>
                <w:lang w:eastAsia="ru-RU"/>
              </w:rPr>
            </w:pPr>
            <w:r>
              <w:rPr>
                <w:rFonts w:ascii="Times New Roman" w:hAnsi="Times New Roman"/>
                <w:sz w:val="18"/>
                <w:szCs w:val="20"/>
                <w:lang w:eastAsia="ru-RU"/>
              </w:rPr>
              <w:t xml:space="preserve">57938 </w:t>
            </w:r>
            <w:r w:rsidRPr="00AC4006">
              <w:rPr>
                <w:rFonts w:ascii="Times New Roman" w:hAnsi="Times New Roman"/>
                <w:sz w:val="18"/>
                <w:szCs w:val="20"/>
                <w:lang w:eastAsia="ru-RU"/>
              </w:rPr>
              <w:t>Набір для взяття зразків з цервікального каналу без додаткових компонентів</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 xml:space="preserve">Призначення: транспортування і зберігання зразків біологічного матеріалу людини (зішкріби/мазки епітеліальних клітин з урогенітального тракту, ротоглотки, носоглотки, прямої кишки, кон’юнктиви ока, шкіри) з метою культивування, аналізу та/або інших досліджень. </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 xml:space="preserve">Транспортне середовище  </w:t>
            </w:r>
            <w:r>
              <w:rPr>
                <w:rFonts w:ascii="Times New Roman" w:hAnsi="Times New Roman"/>
                <w:bCs/>
                <w:iCs/>
                <w:noProof/>
                <w:sz w:val="18"/>
                <w:szCs w:val="20"/>
                <w:lang w:val="en-US" w:eastAsia="ru-RU"/>
              </w:rPr>
              <w:t>U</w:t>
            </w:r>
            <w:r w:rsidRPr="00EC4FA5">
              <w:rPr>
                <w:rFonts w:ascii="Times New Roman" w:hAnsi="Times New Roman"/>
                <w:bCs/>
                <w:iCs/>
                <w:noProof/>
                <w:sz w:val="18"/>
                <w:szCs w:val="20"/>
                <w:lang w:eastAsia="ru-RU"/>
              </w:rPr>
              <w:t>TM  - це готовий до використання ізотонічний водно-сольовий розчин з додаванням консерванту, який перешкоджає розмноженню мікроорганізмів.</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100 про</w:t>
            </w:r>
            <w:r>
              <w:rPr>
                <w:rFonts w:ascii="Times New Roman" w:hAnsi="Times New Roman"/>
                <w:bCs/>
                <w:iCs/>
                <w:noProof/>
                <w:sz w:val="18"/>
                <w:szCs w:val="20"/>
                <w:lang w:eastAsia="ru-RU"/>
              </w:rPr>
              <w:t xml:space="preserve">бірок </w:t>
            </w:r>
          </w:p>
          <w:p w:rsidR="00E7057A"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 xml:space="preserve">До складу транспортного середовища входить консервант азид натрію в концентрації </w:t>
            </w:r>
            <w:r>
              <w:rPr>
                <w:rFonts w:ascii="Times New Roman" w:hAnsi="Times New Roman"/>
                <w:bCs/>
                <w:iCs/>
                <w:noProof/>
                <w:sz w:val="18"/>
                <w:szCs w:val="20"/>
                <w:lang w:eastAsia="ru-RU"/>
              </w:rPr>
              <w:t xml:space="preserve">менше </w:t>
            </w:r>
            <w:r w:rsidRPr="00EC4FA5">
              <w:rPr>
                <w:rFonts w:ascii="Times New Roman" w:hAnsi="Times New Roman"/>
                <w:bCs/>
                <w:iCs/>
                <w:noProof/>
                <w:sz w:val="18"/>
                <w:szCs w:val="20"/>
                <w:lang w:eastAsia="ru-RU"/>
              </w:rPr>
              <w:t>0,1%, що є безпечним для кінцевого спожива</w:t>
            </w:r>
          </w:p>
          <w:p w:rsidR="00E7057A" w:rsidRPr="00EC4FA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З</w:t>
            </w:r>
            <w:r w:rsidRPr="00EC4FA5">
              <w:rPr>
                <w:rFonts w:ascii="Times New Roman" w:hAnsi="Times New Roman"/>
                <w:bCs/>
                <w:iCs/>
                <w:noProof/>
                <w:sz w:val="18"/>
                <w:szCs w:val="20"/>
                <w:lang w:eastAsia="ru-RU"/>
              </w:rPr>
              <w:t>разки, пом</w:t>
            </w:r>
            <w:r>
              <w:rPr>
                <w:rFonts w:ascii="Times New Roman" w:hAnsi="Times New Roman"/>
                <w:bCs/>
                <w:iCs/>
                <w:noProof/>
                <w:sz w:val="18"/>
                <w:szCs w:val="20"/>
                <w:lang w:eastAsia="ru-RU"/>
              </w:rPr>
              <w:t xml:space="preserve">іщені в транспортне середовище </w:t>
            </w:r>
            <w:r>
              <w:rPr>
                <w:rFonts w:ascii="Times New Roman" w:hAnsi="Times New Roman"/>
                <w:bCs/>
                <w:iCs/>
                <w:noProof/>
                <w:sz w:val="18"/>
                <w:szCs w:val="20"/>
                <w:lang w:val="en-US" w:eastAsia="ru-RU"/>
              </w:rPr>
              <w:t>U</w:t>
            </w:r>
            <w:r w:rsidRPr="00EC4FA5">
              <w:rPr>
                <w:rFonts w:ascii="Times New Roman" w:hAnsi="Times New Roman"/>
                <w:bCs/>
                <w:iCs/>
                <w:noProof/>
                <w:sz w:val="18"/>
                <w:szCs w:val="20"/>
                <w:lang w:eastAsia="ru-RU"/>
              </w:rPr>
              <w:t xml:space="preserve">TM, необхідно транспортувати і зберігати при температурі від 2°С до 8°С не довше 7 діб та не довше 48 годин 18°С до 25°С. </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екстракції ДНК та РНК з біологічного матеріалу</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Pr>
                <w:rFonts w:ascii="Times New Roman" w:hAnsi="Times New Roman"/>
                <w:color w:val="000000"/>
                <w:sz w:val="18"/>
                <w:szCs w:val="18"/>
              </w:rPr>
              <w:t>100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52521 </w:t>
            </w:r>
            <w:r w:rsidRPr="00AC4006">
              <w:rPr>
                <w:rFonts w:ascii="Times New Roman" w:hAnsi="Times New Roman"/>
                <w:bCs/>
                <w:iCs/>
                <w:noProof/>
                <w:sz w:val="18"/>
                <w:szCs w:val="20"/>
                <w:lang w:eastAsia="ru-RU"/>
              </w:rPr>
              <w:t>Екстракція/ізоляція нуклеїнових кислот, набір IVD (діагностика in vitro )</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Принцип роботи набору реагентів ґрунтується на оборотному зв'язуванні молекул нуклеїнових кислот на поверхні магнітних часток. Досліджуваний зразок обробляється розчином для лізису в присутності магнітних часток. В результаті відбувається деструкція клітинних мембран, вірусних оболонок та інших біополімерних комплексів з подальшим вивільненням нуклеїнових кислот. Розчинені нуклеїнові кислоти зв'язуються з магнітними частками, в той час як інші компоненти лізованого біологічного матеріалу залишаються в розчині і видаляються при осадженні часток на магнітному штативі з подальшим відмиванням магнітних часток. При додаванні буфера для елюції до магнітних часток відбувається елюювання нуклеїнових кислот з поверхні сорбенту в розчин. В результаті зазначеної процедури отримується високоочищений препарат ДНК і РНК, вільний від інгібіторів реакції ампліфікації, що забезпечує високу аналітичну чутливість ПЛР-дослідження.</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Матеріалом для проведення процедури екстракції ДНК/РНК слугує біологічний матеріал (клінічні зразки), у тому числі: мазки, зішкріби, мокрота, слина, лейкоцитарна фракція цільної крові, сеча (осад), фекалії, еякулят</w:t>
            </w:r>
            <w:r>
              <w:rPr>
                <w:rFonts w:ascii="Times New Roman" w:hAnsi="Times New Roman"/>
                <w:bCs/>
                <w:iCs/>
                <w:noProof/>
                <w:sz w:val="18"/>
                <w:szCs w:val="20"/>
                <w:lang w:eastAsia="ru-RU"/>
              </w:rPr>
              <w:t xml:space="preserve">, секрет простати тощо </w:t>
            </w:r>
            <w:r>
              <w:rPr>
                <w:rFonts w:ascii="Times New Roman" w:hAnsi="Times New Roman"/>
                <w:bCs/>
                <w:iCs/>
                <w:noProof/>
                <w:sz w:val="18"/>
                <w:szCs w:val="20"/>
                <w:lang w:eastAsia="ru-RU"/>
              </w:rPr>
              <w:lastRenderedPageBreak/>
              <w:t>.</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 xml:space="preserve">Загальний час проведення процедури виділення ДНК/РНК з 1 зразка ручним методом становить 40-50 хвилин, напівавтоматичним - 35-40 хвилин. </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Набір реагентів «DNA/RNA-Mag» забезпечує виділення ДНК/РНК з біологічного матеріалу з чистотою виділення за показником співвідношення А260/280 не менше 1,7.</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Ефективність виділення ДНК/РНК становить від 30 до 70%.</w:t>
            </w:r>
          </w:p>
          <w:p w:rsidR="00E7057A" w:rsidRPr="00EC4FA5" w:rsidRDefault="00E7057A" w:rsidP="00E7057A">
            <w:pPr>
              <w:spacing w:after="0" w:line="240" w:lineRule="auto"/>
              <w:rPr>
                <w:rFonts w:ascii="Times New Roman" w:hAnsi="Times New Roman"/>
                <w:bCs/>
                <w:iCs/>
                <w:noProof/>
                <w:sz w:val="18"/>
                <w:szCs w:val="20"/>
                <w:lang w:eastAsia="ru-RU"/>
              </w:rPr>
            </w:pP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Склад:</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1.</w:t>
            </w:r>
            <w:r w:rsidRPr="00EC4FA5">
              <w:rPr>
                <w:rFonts w:ascii="Times New Roman" w:hAnsi="Times New Roman"/>
                <w:bCs/>
                <w:iCs/>
                <w:noProof/>
                <w:sz w:val="18"/>
                <w:szCs w:val="20"/>
                <w:lang w:eastAsia="ru-RU"/>
              </w:rPr>
              <w:tab/>
              <w:t>Розчин з магнітними частками, 1.1 мл, суспензія бурого або чорного кольору</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2.</w:t>
            </w:r>
            <w:r w:rsidRPr="00EC4FA5">
              <w:rPr>
                <w:rFonts w:ascii="Times New Roman" w:hAnsi="Times New Roman"/>
                <w:bCs/>
                <w:iCs/>
                <w:noProof/>
                <w:sz w:val="18"/>
                <w:szCs w:val="20"/>
                <w:lang w:eastAsia="ru-RU"/>
              </w:rPr>
              <w:tab/>
              <w:t>Буфер для лізису, 45 мл, прозора безбарвна рідина</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3.</w:t>
            </w:r>
            <w:r w:rsidRPr="00EC4FA5">
              <w:rPr>
                <w:rFonts w:ascii="Times New Roman" w:hAnsi="Times New Roman"/>
                <w:bCs/>
                <w:iCs/>
                <w:noProof/>
                <w:sz w:val="18"/>
                <w:szCs w:val="20"/>
                <w:lang w:eastAsia="ru-RU"/>
              </w:rPr>
              <w:tab/>
              <w:t>Буфер для промивання №1, 80 мл, прозора безбарвна рідина</w:t>
            </w:r>
          </w:p>
          <w:p w:rsidR="00E7057A" w:rsidRPr="00EC4FA5"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4.</w:t>
            </w:r>
            <w:r w:rsidRPr="00EC4FA5">
              <w:rPr>
                <w:rFonts w:ascii="Times New Roman" w:hAnsi="Times New Roman"/>
                <w:bCs/>
                <w:iCs/>
                <w:noProof/>
                <w:sz w:val="18"/>
                <w:szCs w:val="20"/>
                <w:lang w:eastAsia="ru-RU"/>
              </w:rPr>
              <w:tab/>
              <w:t>Буфер для промивання №2, 80 мл, прозора безбарвна рідина</w:t>
            </w:r>
          </w:p>
          <w:p w:rsidR="00E7057A" w:rsidRDefault="00E7057A" w:rsidP="00E7057A">
            <w:pPr>
              <w:spacing w:after="0" w:line="240" w:lineRule="auto"/>
              <w:rPr>
                <w:rFonts w:ascii="Times New Roman" w:hAnsi="Times New Roman"/>
                <w:bCs/>
                <w:iCs/>
                <w:noProof/>
                <w:sz w:val="18"/>
                <w:szCs w:val="20"/>
                <w:lang w:eastAsia="ru-RU"/>
              </w:rPr>
            </w:pPr>
            <w:r w:rsidRPr="00EC4FA5">
              <w:rPr>
                <w:rFonts w:ascii="Times New Roman" w:hAnsi="Times New Roman"/>
                <w:bCs/>
                <w:iCs/>
                <w:noProof/>
                <w:sz w:val="18"/>
                <w:szCs w:val="20"/>
                <w:lang w:eastAsia="ru-RU"/>
              </w:rPr>
              <w:t>5.</w:t>
            </w:r>
            <w:r w:rsidRPr="00EC4FA5">
              <w:rPr>
                <w:rFonts w:ascii="Times New Roman" w:hAnsi="Times New Roman"/>
                <w:bCs/>
                <w:iCs/>
                <w:noProof/>
                <w:sz w:val="18"/>
                <w:szCs w:val="20"/>
                <w:lang w:eastAsia="ru-RU"/>
              </w:rPr>
              <w:tab/>
              <w:t>Буфер для елюції, 12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Cytomegalovirus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30</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30798 </w:t>
            </w:r>
            <w:r w:rsidRPr="00AC4006">
              <w:rPr>
                <w:rFonts w:ascii="Times New Roman" w:hAnsi="Times New Roman"/>
                <w:bCs/>
                <w:iCs/>
                <w:noProof/>
                <w:sz w:val="18"/>
                <w:szCs w:val="20"/>
                <w:lang w:eastAsia="ru-RU"/>
              </w:rPr>
              <w:t>Набір реагентів для кількісного визначення нуклеїнової кислоти цитомегаловірусу</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 xml:space="preserve">Принцип аналізу – проведення моноплексної ПЛР у реальному часі з гібридизаційно-флуоресцентною детекцією. </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Реєстрація реакції – флуориметричний  метод по двом каналам: FAM/ та контроль біоматеріалу по каналу HEX/Yellow.</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Формат: на 96 реакцій.</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Аналітична чутливість 1*103 копій/мл</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Діагностична чутливість не менше 98%.</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Діагностична специфічність не менше 98%.</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Зразок для аналізу: плазма крові та мононуклеарні клітини периферичного кровообігу, сеча ( осад ), урогенітальний зішкріб, слюна, біоптат, ліквор.</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Склад набору:</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ПКЗ – позитивний контрольний зразок, готовий до використання (1 мл) прозора безбарвна рідина.</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НКЗ– негативний контрольний зразок, готовий до використання ( 1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Herpessimplexvirus 1 та 2 типу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49539 </w:t>
            </w:r>
            <w:r w:rsidRPr="00AC4006">
              <w:rPr>
                <w:rFonts w:ascii="Times New Roman" w:hAnsi="Times New Roman"/>
                <w:bCs/>
                <w:iCs/>
                <w:noProof/>
                <w:sz w:val="18"/>
                <w:szCs w:val="20"/>
                <w:lang w:eastAsia="ru-RU"/>
              </w:rPr>
              <w:t>Вірус простого герпесу 1 і 2 (HSV1 і 2), нуклеїнова кислота IVD (діагностика in vitro ), набір, аналіз нуклеїнових кислот (NAT)</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 xml:space="preserve">Принцип аналізу базується на проведені моноплексної ПЛР у реальному часі з гібридизаційно-флуоресцентною детекцією. </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Реєстрація реакції – флуориметричний  метод по двом каналам: FAM/ та контроль біоматеріалу по каналу HEX/Yellow.</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Формат: на 96 реакцій.</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Аналітична чутливість 1*103 копій/мл</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Діагностична чутливість не менше 98%.</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Діагностична специфічність не менше 98%.</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Зразок для аналізу: слизові оболонки урогенітального тракту, мазок з ротоглотки, ліквор, виділення з ерозивно-виразкових уражень шкіри та слизових оболонок, мононуклеарні клітини периферичного кровообігу.</w:t>
            </w:r>
          </w:p>
          <w:p w:rsidR="00E7057A" w:rsidRPr="00180F7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 xml:space="preserve">ПКЗ – позитивний контрольний зразок, готовий до використання ( 1 мл) прозора </w:t>
            </w:r>
            <w:r w:rsidRPr="00180F75">
              <w:rPr>
                <w:rFonts w:ascii="Times New Roman" w:hAnsi="Times New Roman"/>
                <w:bCs/>
                <w:iCs/>
                <w:noProof/>
                <w:sz w:val="18"/>
                <w:szCs w:val="20"/>
                <w:lang w:eastAsia="ru-RU"/>
              </w:rPr>
              <w:lastRenderedPageBreak/>
              <w:t>безбарвна рідина.</w:t>
            </w:r>
          </w:p>
          <w:p w:rsidR="00E7057A" w:rsidRPr="00180F75" w:rsidRDefault="00E7057A" w:rsidP="00E7057A">
            <w:pPr>
              <w:spacing w:after="0" w:line="240" w:lineRule="auto"/>
              <w:rPr>
                <w:rFonts w:ascii="Times New Roman" w:hAnsi="Times New Roman"/>
                <w:bCs/>
                <w:iCs/>
                <w:noProof/>
                <w:sz w:val="18"/>
                <w:szCs w:val="20"/>
                <w:lang w:eastAsia="ru-RU"/>
              </w:rPr>
            </w:pPr>
            <w:r w:rsidRPr="00180F75">
              <w:rPr>
                <w:rFonts w:ascii="Times New Roman" w:hAnsi="Times New Roman"/>
                <w:bCs/>
                <w:iCs/>
                <w:noProof/>
                <w:sz w:val="18"/>
                <w:szCs w:val="20"/>
                <w:lang w:eastAsia="ru-RU"/>
              </w:rPr>
              <w:t>НКЗ– негативний контрольний зразок, готовий до використання ( 1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Chlamydiatrachomatis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47320 </w:t>
            </w:r>
            <w:r w:rsidRPr="00AC4006">
              <w:rPr>
                <w:rFonts w:ascii="Times New Roman" w:hAnsi="Times New Roman"/>
                <w:bCs/>
                <w:iCs/>
                <w:noProof/>
                <w:sz w:val="18"/>
                <w:szCs w:val="20"/>
                <w:lang w:eastAsia="ru-RU"/>
              </w:rPr>
              <w:t>Chlamydia trachomatis, 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Принцип аналізу базується на проведені моноплексної ПЛР у реальному часі з гібридизаційно-флуоресцентною детекцією.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Реєстрація реакції – флуориметричний  метод по двом каналам: FAM/ та контроль біоматеріалу по каналу HEX/Yellow.</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Формат: на 96 реакцій.</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Аналітична чутливість 1*103 копій/мл</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чутливість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специфічність не менше 98%.</w:t>
            </w:r>
          </w:p>
          <w:p w:rsidR="00E7057A"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Зразок для аналізу: секрет передміхурової залози, осад сечі, еякулят, урогенітальний зішкріб.</w:t>
            </w:r>
          </w:p>
          <w:p w:rsidR="00E7057A" w:rsidRPr="00DF0D58"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Полімераза, готова до використання  (0.135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ПКЗ – позитивний контрольний зразок, готовий до використання ( 1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НКЗ– негативний контрольний зразок, готовий до використання ( 1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10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для виявлення ДНК Mycoplasmagenitalium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47324 </w:t>
            </w:r>
            <w:r w:rsidRPr="00AC4006">
              <w:rPr>
                <w:rFonts w:ascii="Times New Roman" w:hAnsi="Times New Roman"/>
                <w:bCs/>
                <w:iCs/>
                <w:noProof/>
                <w:sz w:val="18"/>
                <w:szCs w:val="20"/>
                <w:lang w:eastAsia="ru-RU"/>
              </w:rPr>
              <w:t>Mycoplasma genitalium, 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Принцип аналізу базується на проведені моноплексної ПЛР у реальному часі з гібридизаційно-флуоресцентною детекцією.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Реєстрація реакції – флуориметричний  метод по двом каналам FAM/Green для детекції M. genitalium та контроль біоматеріалу по каналу HEX/Yellow.</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Формат: на 96 реакцій.</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Аналітична чутливість 1*103 копій/мл</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чутливість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специфічність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Зразок для аналізу: зішкріб епітелію з урогенітального тракту, секрет передміхурової залози, осад сечі, сперма.</w:t>
            </w:r>
          </w:p>
          <w:p w:rsidR="00E7057A" w:rsidRPr="00DF0D58"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Полімераза, готова до використання  (0.135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ПКЗ – позитивний контрольний зразок, готовий до використання ( 1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НКЗ– негативний контрольний зразок, готовий до використання ( 1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11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реагентів для виявлення ДНК </w:t>
            </w:r>
            <w:r w:rsidRPr="00CE6065">
              <w:rPr>
                <w:rFonts w:ascii="Times New Roman" w:hAnsi="Times New Roman"/>
                <w:i/>
                <w:iCs/>
                <w:color w:val="000000"/>
                <w:sz w:val="18"/>
                <w:szCs w:val="18"/>
              </w:rPr>
              <w:t>Mycoplasmahominis</w:t>
            </w:r>
            <w:r w:rsidRPr="00CE6065">
              <w:rPr>
                <w:rFonts w:ascii="Times New Roman" w:hAnsi="Times New Roman"/>
                <w:color w:val="000000"/>
                <w:sz w:val="18"/>
                <w:szCs w:val="18"/>
              </w:rPr>
              <w:t xml:space="preserve">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63422 Мікоплазма </w:t>
            </w:r>
            <w:r w:rsidRPr="00AC4006">
              <w:rPr>
                <w:rFonts w:ascii="Times New Roman" w:hAnsi="Times New Roman"/>
                <w:bCs/>
                <w:iCs/>
                <w:noProof/>
                <w:sz w:val="18"/>
                <w:szCs w:val="20"/>
                <w:lang w:eastAsia="ru-RU"/>
              </w:rPr>
              <w:t>хомініс, нуклеїнова кислота IVD (діагностика in vitro ), набір, метод нуклеїнової кислоти (МНК)</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Принцип аналізу базується на проведені моноплексної ПЛР у реальному часі з гібридизаційно-флуоресцентною детекцією.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Реєстрація реакції – флуориметричний  метод по двом FAM/Green для детекції M. hominis та контроль біоматеріалу по каналу HEX/Yellow.</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Формат: на 96 реакцій.</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Аналітична чутливість 1*103 копій/мл</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чутливість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специфічність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Зразок для аналізу: секрет передміхурової залози, осад сечі, сперма, зішкріб епітелію з урогенітального тракту.</w:t>
            </w:r>
          </w:p>
          <w:p w:rsidR="00E7057A" w:rsidRPr="00DF0D58"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lastRenderedPageBreak/>
              <w:t>Полімераза, готова до використання  (0.135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ПКЗ – позитивний контрольний зразок, готовий до використання (1.0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НКЗ– негативний контрольний зразок, готовий до використання (1.0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12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реагентів для виявлення ДНК </w:t>
            </w:r>
            <w:r w:rsidRPr="00CE6065">
              <w:rPr>
                <w:rFonts w:ascii="Times New Roman" w:hAnsi="Times New Roman"/>
                <w:i/>
                <w:iCs/>
                <w:color w:val="000000"/>
                <w:sz w:val="18"/>
                <w:szCs w:val="18"/>
              </w:rPr>
              <w:t>Ureaplasmaparvum</w:t>
            </w:r>
            <w:r w:rsidRPr="00CE6065">
              <w:rPr>
                <w:rFonts w:ascii="Times New Roman" w:hAnsi="Times New Roman"/>
                <w:color w:val="000000"/>
                <w:sz w:val="18"/>
                <w:szCs w:val="18"/>
              </w:rPr>
              <w:t xml:space="preserve">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50409</w:t>
            </w:r>
            <w:r w:rsidRPr="00AC4006">
              <w:rPr>
                <w:rFonts w:ascii="Times New Roman" w:hAnsi="Times New Roman"/>
                <w:bCs/>
                <w:iCs/>
                <w:noProof/>
                <w:sz w:val="18"/>
                <w:szCs w:val="20"/>
                <w:lang w:eastAsia="ru-RU"/>
              </w:rPr>
              <w:t>Множинні мікроорганізми, що передаються статево, 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Принцип аналізу базується на проведені моноплексної ПЛР у реальному часі з гібридизаційно-флуоресцентною детекцією.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Реєстрація реакції – флуориметричний  метод по двом каналам: FAM/Green для детекції Ureaplasma parvum та контроль біоматеріалу по каналу HEX/Yellow.</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Формат: на 96 реакцій.</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Аналітична чутливість 1*103 копій/мл</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чутливість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специфічність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Зразок для аналізу: секрет передміхурової залози, осад сечі, сперма, зішкріб епітелію з урогенітального тракту.</w:t>
            </w:r>
          </w:p>
          <w:p w:rsidR="00E7057A" w:rsidRPr="00DF0D58"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ПКЗ – позитивний контрольний зразок, готовий до використання (1.0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НКЗ– негативний контрольний зразок, готовий до використання (1.0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13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реагентів для виявлення ДНК </w:t>
            </w:r>
            <w:r w:rsidRPr="00CE6065">
              <w:rPr>
                <w:rFonts w:ascii="Times New Roman" w:hAnsi="Times New Roman"/>
                <w:i/>
                <w:iCs/>
                <w:color w:val="000000"/>
                <w:sz w:val="18"/>
                <w:szCs w:val="18"/>
              </w:rPr>
              <w:t>Ureaplasmaurealyticum</w:t>
            </w:r>
            <w:r w:rsidRPr="00CE6065">
              <w:rPr>
                <w:rFonts w:ascii="Times New Roman" w:hAnsi="Times New Roman"/>
                <w:color w:val="000000"/>
                <w:sz w:val="18"/>
                <w:szCs w:val="18"/>
              </w:rPr>
              <w:t xml:space="preserve">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51826 </w:t>
            </w:r>
            <w:r w:rsidRPr="00AC4006">
              <w:rPr>
                <w:rFonts w:ascii="Times New Roman" w:hAnsi="Times New Roman"/>
                <w:bCs/>
                <w:iCs/>
                <w:noProof/>
                <w:sz w:val="18"/>
                <w:szCs w:val="20"/>
                <w:lang w:eastAsia="ru-RU"/>
              </w:rPr>
              <w:t>Ureaplasma urealyticum, нуклеїнові кислоти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 xml:space="preserve">Принцип аналізу базується на проведені моноплексної ПЛР у реальному часі з гібридизаційно-флуоресцентною детекцією. </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Реєстрація реакції – флуориметричний  метод по двом каналам: FAM/Green для детекції Ureaplasma urealyticum та контроль біоматеріалу по каналу HEX/Yellow.</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Формат: на 96 реакцій.</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Аналітична чутливість 1*103 копій/мл</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чутливість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Діагностична специфічність не менше 98%.</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Зразок для аналізу: секрет передміхурової залози, осад сечі, сперма, зішкріб епітелію з урогенітального тракту.</w:t>
            </w:r>
          </w:p>
          <w:p w:rsidR="00E7057A" w:rsidRPr="00DF0D58"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Полімераза, готова до використання  (0.12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ПКЗ – позитивний контрольний зразок, готовий до використання (1.0 мл) прозора безбарвна рідина.</w:t>
            </w:r>
          </w:p>
          <w:p w:rsidR="00E7057A" w:rsidRPr="00DF0D58" w:rsidRDefault="00E7057A" w:rsidP="00E7057A">
            <w:pPr>
              <w:spacing w:after="0" w:line="240" w:lineRule="auto"/>
              <w:rPr>
                <w:rFonts w:ascii="Times New Roman" w:hAnsi="Times New Roman"/>
                <w:bCs/>
                <w:iCs/>
                <w:noProof/>
                <w:sz w:val="18"/>
                <w:szCs w:val="20"/>
                <w:lang w:eastAsia="ru-RU"/>
              </w:rPr>
            </w:pPr>
            <w:r w:rsidRPr="00DF0D58">
              <w:rPr>
                <w:rFonts w:ascii="Times New Roman" w:hAnsi="Times New Roman"/>
                <w:bCs/>
                <w:iCs/>
                <w:noProof/>
                <w:sz w:val="18"/>
                <w:szCs w:val="20"/>
                <w:lang w:eastAsia="ru-RU"/>
              </w:rPr>
              <w:t>НКЗ– негативний контрольний зразок, готовий до використання (1.0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tcBorders>
              <w:bottom w:val="single" w:sz="4" w:space="0" w:color="auto"/>
            </w:tcBorders>
            <w:shd w:val="clear" w:color="auto" w:fill="auto"/>
          </w:tcPr>
          <w:p w:rsidR="00E7057A" w:rsidRPr="00D80AE8" w:rsidRDefault="00E7057A" w:rsidP="00E7057A">
            <w:pPr>
              <w:spacing w:after="0" w:line="240" w:lineRule="auto"/>
              <w:jc w:val="center"/>
              <w:rPr>
                <w:rFonts w:ascii="Times New Roman" w:hAnsi="Times New Roman"/>
                <w:noProof/>
                <w:sz w:val="18"/>
                <w:szCs w:val="18"/>
              </w:rPr>
            </w:pPr>
            <w:r w:rsidRPr="00D80AE8">
              <w:rPr>
                <w:rFonts w:ascii="Times New Roman" w:hAnsi="Times New Roman"/>
                <w:color w:val="000000"/>
                <w:sz w:val="18"/>
                <w:szCs w:val="18"/>
              </w:rPr>
              <w:t>14</w:t>
            </w:r>
          </w:p>
        </w:tc>
        <w:tc>
          <w:tcPr>
            <w:tcW w:w="1776" w:type="dxa"/>
            <w:tcBorders>
              <w:bottom w:val="single" w:sz="4" w:space="0" w:color="auto"/>
            </w:tcBorders>
            <w:shd w:val="clear" w:color="auto" w:fill="auto"/>
          </w:tcPr>
          <w:p w:rsidR="00E7057A" w:rsidRPr="00D80AE8" w:rsidRDefault="00E7057A" w:rsidP="00E7057A">
            <w:pPr>
              <w:spacing w:after="0" w:line="240" w:lineRule="auto"/>
              <w:rPr>
                <w:rFonts w:ascii="Times New Roman" w:hAnsi="Times New Roman"/>
                <w:noProof/>
                <w:sz w:val="18"/>
                <w:szCs w:val="18"/>
                <w:lang w:eastAsia="ru-RU"/>
              </w:rPr>
            </w:pPr>
            <w:r w:rsidRPr="00D80AE8">
              <w:rPr>
                <w:rFonts w:ascii="Times New Roman" w:hAnsi="Times New Roman"/>
                <w:color w:val="000000"/>
                <w:sz w:val="18"/>
                <w:szCs w:val="18"/>
              </w:rPr>
              <w:t>Набір реагентів для виявлення ДНК</w:t>
            </w:r>
            <w:r w:rsidRPr="00D80AE8">
              <w:rPr>
                <w:rFonts w:ascii="Times New Roman" w:hAnsi="Times New Roman"/>
                <w:i/>
                <w:iCs/>
                <w:color w:val="000000"/>
                <w:sz w:val="18"/>
                <w:szCs w:val="18"/>
              </w:rPr>
              <w:t>Treponemapallidum</w:t>
            </w:r>
            <w:r w:rsidRPr="00D80AE8">
              <w:rPr>
                <w:rFonts w:ascii="Times New Roman" w:hAnsi="Times New Roman"/>
                <w:color w:val="000000"/>
                <w:sz w:val="18"/>
                <w:szCs w:val="18"/>
              </w:rPr>
              <w:t xml:space="preserve"> методом полімеразної ланцюгової реакції в реальному часі</w:t>
            </w:r>
          </w:p>
        </w:tc>
        <w:tc>
          <w:tcPr>
            <w:tcW w:w="709" w:type="dxa"/>
            <w:tcBorders>
              <w:bottom w:val="single" w:sz="4" w:space="0" w:color="auto"/>
            </w:tcBorders>
          </w:tcPr>
          <w:p w:rsidR="00E7057A" w:rsidRPr="00D80AE8" w:rsidRDefault="00E7057A" w:rsidP="00E7057A">
            <w:pPr>
              <w:spacing w:after="0" w:line="240" w:lineRule="auto"/>
              <w:ind w:left="-66" w:right="-72"/>
              <w:jc w:val="center"/>
              <w:rPr>
                <w:rFonts w:ascii="Times New Roman" w:eastAsia="Times New Roman" w:hAnsi="Times New Roman"/>
                <w:noProof/>
                <w:sz w:val="18"/>
                <w:szCs w:val="18"/>
                <w:lang w:eastAsia="ru-RU"/>
              </w:rPr>
            </w:pPr>
            <w:r w:rsidRPr="00D80AE8">
              <w:rPr>
                <w:rFonts w:ascii="Times New Roman" w:hAnsi="Times New Roman"/>
                <w:color w:val="000000"/>
                <w:sz w:val="18"/>
                <w:szCs w:val="18"/>
              </w:rPr>
              <w:t>96 реакцій</w:t>
            </w:r>
          </w:p>
        </w:tc>
        <w:tc>
          <w:tcPr>
            <w:tcW w:w="708" w:type="dxa"/>
            <w:tcBorders>
              <w:bottom w:val="single" w:sz="4" w:space="0" w:color="auto"/>
            </w:tcBorders>
            <w:shd w:val="clear" w:color="auto" w:fill="auto"/>
          </w:tcPr>
          <w:p w:rsidR="00E7057A" w:rsidRPr="00D80AE8" w:rsidRDefault="00E7057A" w:rsidP="00E7057A">
            <w:pPr>
              <w:spacing w:after="0" w:line="240" w:lineRule="auto"/>
              <w:ind w:left="-69" w:right="-94"/>
              <w:jc w:val="center"/>
              <w:rPr>
                <w:rFonts w:ascii="Times New Roman" w:eastAsia="Times New Roman" w:hAnsi="Times New Roman"/>
                <w:noProof/>
                <w:sz w:val="18"/>
                <w:szCs w:val="18"/>
                <w:lang w:eastAsia="ru-RU"/>
              </w:rPr>
            </w:pPr>
            <w:r w:rsidRPr="00D80AE8">
              <w:rPr>
                <w:rFonts w:ascii="Times New Roman" w:hAnsi="Times New Roman"/>
                <w:color w:val="000000"/>
                <w:sz w:val="18"/>
                <w:szCs w:val="18"/>
              </w:rPr>
              <w:t>шт</w:t>
            </w:r>
          </w:p>
        </w:tc>
        <w:tc>
          <w:tcPr>
            <w:tcW w:w="426" w:type="dxa"/>
            <w:tcBorders>
              <w:bottom w:val="single" w:sz="4" w:space="0" w:color="auto"/>
            </w:tcBorders>
            <w:shd w:val="clear" w:color="auto" w:fill="auto"/>
          </w:tcPr>
          <w:p w:rsidR="00E7057A" w:rsidRPr="00D80AE8"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22</w:t>
            </w:r>
          </w:p>
        </w:tc>
        <w:tc>
          <w:tcPr>
            <w:tcW w:w="1426" w:type="dxa"/>
            <w:tcBorders>
              <w:bottom w:val="single" w:sz="4" w:space="0" w:color="auto"/>
            </w:tcBorders>
          </w:tcPr>
          <w:p w:rsidR="00E7057A" w:rsidRPr="00D80AE8" w:rsidRDefault="00E7057A" w:rsidP="00E7057A">
            <w:pPr>
              <w:spacing w:after="0" w:line="240" w:lineRule="auto"/>
              <w:ind w:left="-111" w:right="-47"/>
              <w:jc w:val="center"/>
              <w:rPr>
                <w:rFonts w:ascii="Times New Roman" w:hAnsi="Times New Roman"/>
                <w:bCs/>
                <w:iCs/>
                <w:noProof/>
                <w:sz w:val="18"/>
                <w:szCs w:val="20"/>
                <w:lang w:eastAsia="ru-RU"/>
              </w:rPr>
            </w:pPr>
            <w:r w:rsidRPr="00D80AE8">
              <w:rPr>
                <w:rFonts w:ascii="Times New Roman" w:hAnsi="Times New Roman"/>
                <w:bCs/>
                <w:iCs/>
                <w:noProof/>
                <w:sz w:val="18"/>
                <w:szCs w:val="20"/>
                <w:lang w:eastAsia="ru-RU"/>
              </w:rPr>
              <w:t>51794Treponema pallidum, нуклеїнові кислоти IVD (діагностика in vitro ), набір, аналіз нуклеїнових кислот</w:t>
            </w:r>
          </w:p>
        </w:tc>
        <w:tc>
          <w:tcPr>
            <w:tcW w:w="1134" w:type="dxa"/>
            <w:tcBorders>
              <w:bottom w:val="single" w:sz="4" w:space="0" w:color="auto"/>
            </w:tcBorders>
          </w:tcPr>
          <w:p w:rsidR="00E7057A" w:rsidRPr="00D80AE8" w:rsidRDefault="00E7057A" w:rsidP="00E7057A">
            <w:pPr>
              <w:spacing w:after="0" w:line="240" w:lineRule="auto"/>
              <w:jc w:val="center"/>
              <w:rPr>
                <w:rFonts w:ascii="Times New Roman" w:hAnsi="Times New Roman"/>
                <w:bCs/>
                <w:iCs/>
                <w:noProof/>
                <w:sz w:val="18"/>
                <w:szCs w:val="20"/>
                <w:lang w:eastAsia="ru-RU"/>
              </w:rPr>
            </w:pPr>
            <w:r w:rsidRPr="00D80AE8">
              <w:rPr>
                <w:rFonts w:ascii="Times New Roman" w:hAnsi="Times New Roman"/>
                <w:bCs/>
                <w:iCs/>
                <w:noProof/>
                <w:sz w:val="18"/>
                <w:szCs w:val="20"/>
                <w:lang w:eastAsia="ru-RU"/>
              </w:rPr>
              <w:t>33694000-1</w:t>
            </w:r>
          </w:p>
        </w:tc>
        <w:tc>
          <w:tcPr>
            <w:tcW w:w="3818" w:type="dxa"/>
            <w:tcBorders>
              <w:bottom w:val="single" w:sz="4" w:space="0" w:color="auto"/>
            </w:tcBorders>
          </w:tcPr>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 xml:space="preserve">Принцип аналізу базується на проведені моноплексної ПЛР у реальному часі з гібридизаційно-флуоресцентною детекцією. </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Реєстрація реакції – флуориметричний  метод по двом каналам: FAM/Green та контроль біоматеріалу по каналу HEX/Yellow.</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Формат: на 96 реакцій.</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Аналітична чутливість 500 *копій/мл ( копій специфічної ДНК-мішені на 1 мл біологічного зразка ).</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Діагностична специфічність не менше 98%.</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 xml:space="preserve">Зразок для аналізу: зішкріб слизових </w:t>
            </w:r>
            <w:r w:rsidRPr="00D80AE8">
              <w:rPr>
                <w:rFonts w:ascii="Times New Roman" w:hAnsi="Times New Roman"/>
                <w:bCs/>
                <w:iCs/>
                <w:noProof/>
                <w:sz w:val="18"/>
                <w:szCs w:val="20"/>
                <w:lang w:eastAsia="ru-RU"/>
              </w:rPr>
              <w:lastRenderedPageBreak/>
              <w:t>оболонок урогенітального тракту, прямої кишки, ротової порожнини. Зішкріб з ерозивно-виразкових елементів.</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Склад набору:</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Полімераза, готова до використання  (0.135 мл), прозора безбарвна рідина.</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ПКЗ – позитивний контрольний зразок, готовий до використання (1.0 мл) прозора безбарвна рідина.</w:t>
            </w:r>
          </w:p>
          <w:p w:rsidR="00E7057A" w:rsidRPr="00D80AE8" w:rsidRDefault="00E7057A" w:rsidP="00E7057A">
            <w:pPr>
              <w:spacing w:after="0" w:line="240" w:lineRule="auto"/>
              <w:rPr>
                <w:rFonts w:ascii="Times New Roman" w:hAnsi="Times New Roman"/>
                <w:bCs/>
                <w:iCs/>
                <w:noProof/>
                <w:sz w:val="18"/>
                <w:szCs w:val="20"/>
                <w:lang w:eastAsia="ru-RU"/>
              </w:rPr>
            </w:pPr>
            <w:r w:rsidRPr="00D80AE8">
              <w:rPr>
                <w:rFonts w:ascii="Times New Roman" w:hAnsi="Times New Roman"/>
                <w:bCs/>
                <w:iCs/>
                <w:noProof/>
                <w:sz w:val="18"/>
                <w:szCs w:val="20"/>
                <w:lang w:eastAsia="ru-RU"/>
              </w:rPr>
              <w:t>НКЗ– негативний контрольний зразок, готовий до використання (1.0 мл) прозора безбарвна рідина.</w:t>
            </w:r>
          </w:p>
          <w:p w:rsidR="00E7057A" w:rsidRPr="00D80AE8"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D80AE8" w:rsidRDefault="00E7057A" w:rsidP="00E7057A">
            <w:pPr>
              <w:spacing w:after="0" w:line="240" w:lineRule="auto"/>
              <w:jc w:val="center"/>
              <w:rPr>
                <w:rFonts w:ascii="Times New Roman" w:hAnsi="Times New Roman"/>
                <w:noProof/>
                <w:sz w:val="20"/>
                <w:szCs w:val="18"/>
              </w:rPr>
            </w:pPr>
            <w:r w:rsidRPr="00D80AE8">
              <w:rPr>
                <w:rFonts w:ascii="Times New Roman" w:hAnsi="Times New Roman"/>
                <w:sz w:val="20"/>
                <w:szCs w:val="18"/>
              </w:rPr>
              <w:lastRenderedPageBreak/>
              <w:t>1</w:t>
            </w:r>
            <w:r>
              <w:rPr>
                <w:rFonts w:ascii="Times New Roman" w:hAnsi="Times New Roman"/>
                <w:sz w:val="20"/>
                <w:szCs w:val="18"/>
              </w:rPr>
              <w:t>5</w:t>
            </w:r>
          </w:p>
        </w:tc>
        <w:tc>
          <w:tcPr>
            <w:tcW w:w="1776" w:type="dxa"/>
            <w:shd w:val="clear" w:color="auto" w:fill="auto"/>
          </w:tcPr>
          <w:p w:rsidR="00E7057A" w:rsidRPr="00203DD6" w:rsidRDefault="00E7057A" w:rsidP="00E7057A">
            <w:pPr>
              <w:spacing w:after="0" w:line="240" w:lineRule="auto"/>
              <w:rPr>
                <w:rFonts w:ascii="Times New Roman" w:hAnsi="Times New Roman"/>
                <w:noProof/>
                <w:sz w:val="18"/>
                <w:szCs w:val="18"/>
                <w:lang w:eastAsia="ru-RU"/>
              </w:rPr>
            </w:pPr>
            <w:r w:rsidRPr="00203DD6">
              <w:rPr>
                <w:rFonts w:ascii="Times New Roman" w:hAnsi="Times New Roman"/>
                <w:sz w:val="18"/>
                <w:szCs w:val="18"/>
              </w:rPr>
              <w:t xml:space="preserve">Набір реагентів для виявлення ДНК </w:t>
            </w:r>
            <w:r w:rsidRPr="00203DD6">
              <w:rPr>
                <w:rFonts w:ascii="Times New Roman" w:hAnsi="Times New Roman"/>
                <w:i/>
                <w:iCs/>
                <w:sz w:val="18"/>
                <w:szCs w:val="18"/>
              </w:rPr>
              <w:t>Neisseriagonorrhoeae</w:t>
            </w:r>
            <w:r w:rsidRPr="00203DD6">
              <w:rPr>
                <w:rFonts w:ascii="Times New Roman" w:hAnsi="Times New Roman"/>
                <w:sz w:val="18"/>
                <w:szCs w:val="18"/>
              </w:rPr>
              <w:t xml:space="preserve"> методом полімеразної ланцюгової реакції в реальному часі</w:t>
            </w:r>
          </w:p>
        </w:tc>
        <w:tc>
          <w:tcPr>
            <w:tcW w:w="709" w:type="dxa"/>
          </w:tcPr>
          <w:p w:rsidR="00E7057A" w:rsidRPr="00203DD6" w:rsidRDefault="00E7057A" w:rsidP="00E7057A">
            <w:pPr>
              <w:spacing w:after="0" w:line="240" w:lineRule="auto"/>
              <w:ind w:left="-66" w:right="-72"/>
              <w:jc w:val="center"/>
              <w:rPr>
                <w:rFonts w:ascii="Times New Roman" w:eastAsia="Times New Roman" w:hAnsi="Times New Roman"/>
                <w:noProof/>
                <w:sz w:val="18"/>
                <w:szCs w:val="18"/>
                <w:lang w:eastAsia="ru-RU"/>
              </w:rPr>
            </w:pPr>
            <w:r w:rsidRPr="00203DD6">
              <w:rPr>
                <w:rFonts w:ascii="Times New Roman" w:hAnsi="Times New Roman"/>
                <w:sz w:val="18"/>
                <w:szCs w:val="18"/>
              </w:rPr>
              <w:t>96 реакцій</w:t>
            </w:r>
          </w:p>
        </w:tc>
        <w:tc>
          <w:tcPr>
            <w:tcW w:w="708" w:type="dxa"/>
            <w:shd w:val="clear" w:color="auto" w:fill="auto"/>
          </w:tcPr>
          <w:p w:rsidR="00E7057A" w:rsidRPr="00203DD6" w:rsidRDefault="00E7057A" w:rsidP="00E7057A">
            <w:pPr>
              <w:spacing w:after="0" w:line="240" w:lineRule="auto"/>
              <w:ind w:left="-69" w:right="-94"/>
              <w:jc w:val="center"/>
              <w:rPr>
                <w:rFonts w:ascii="Times New Roman" w:eastAsia="Times New Roman" w:hAnsi="Times New Roman"/>
                <w:noProof/>
                <w:sz w:val="18"/>
                <w:szCs w:val="18"/>
                <w:lang w:eastAsia="ru-RU"/>
              </w:rPr>
            </w:pPr>
            <w:r w:rsidRPr="00203DD6">
              <w:rPr>
                <w:rFonts w:ascii="Times New Roman" w:hAnsi="Times New Roman"/>
                <w:sz w:val="18"/>
                <w:szCs w:val="18"/>
              </w:rPr>
              <w:t>шт</w:t>
            </w:r>
          </w:p>
        </w:tc>
        <w:tc>
          <w:tcPr>
            <w:tcW w:w="426" w:type="dxa"/>
            <w:shd w:val="clear" w:color="auto" w:fill="auto"/>
          </w:tcPr>
          <w:p w:rsidR="00E7057A" w:rsidRPr="00203DD6"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sz w:val="18"/>
                <w:szCs w:val="18"/>
              </w:rPr>
              <w:t>24</w:t>
            </w:r>
          </w:p>
        </w:tc>
        <w:tc>
          <w:tcPr>
            <w:tcW w:w="1426" w:type="dxa"/>
          </w:tcPr>
          <w:p w:rsidR="00E7057A" w:rsidRPr="00203DD6" w:rsidRDefault="00E7057A" w:rsidP="00E7057A">
            <w:pPr>
              <w:spacing w:after="0" w:line="240" w:lineRule="auto"/>
              <w:ind w:left="-111" w:right="-47"/>
              <w:jc w:val="center"/>
              <w:rPr>
                <w:rFonts w:ascii="Times New Roman" w:hAnsi="Times New Roman"/>
                <w:bCs/>
                <w:iCs/>
                <w:noProof/>
                <w:sz w:val="18"/>
                <w:szCs w:val="18"/>
                <w:lang w:eastAsia="ru-RU"/>
              </w:rPr>
            </w:pPr>
            <w:r w:rsidRPr="00203DD6">
              <w:rPr>
                <w:rFonts w:ascii="Times New Roman" w:hAnsi="Times New Roman"/>
                <w:bCs/>
                <w:iCs/>
                <w:noProof/>
                <w:sz w:val="18"/>
                <w:szCs w:val="18"/>
                <w:lang w:eastAsia="ru-RU"/>
              </w:rPr>
              <w:t>51235Neisseria gonorrhoeae, нуклеїнові кислоти IVD (діагностика in vitro ), набір, аналіз нуклеїнових кислот</w:t>
            </w:r>
          </w:p>
        </w:tc>
        <w:tc>
          <w:tcPr>
            <w:tcW w:w="1134" w:type="dxa"/>
          </w:tcPr>
          <w:p w:rsidR="00E7057A" w:rsidRPr="00203DD6" w:rsidRDefault="00E7057A" w:rsidP="00E7057A">
            <w:pPr>
              <w:spacing w:after="0" w:line="240" w:lineRule="auto"/>
              <w:jc w:val="center"/>
              <w:rPr>
                <w:rFonts w:ascii="Times New Roman" w:hAnsi="Times New Roman"/>
                <w:bCs/>
                <w:iCs/>
                <w:noProof/>
                <w:sz w:val="18"/>
                <w:szCs w:val="18"/>
                <w:lang w:eastAsia="ru-RU"/>
              </w:rPr>
            </w:pPr>
            <w:r w:rsidRPr="00203DD6">
              <w:rPr>
                <w:rFonts w:ascii="Times New Roman" w:hAnsi="Times New Roman"/>
                <w:bCs/>
                <w:iCs/>
                <w:noProof/>
                <w:sz w:val="18"/>
                <w:szCs w:val="18"/>
                <w:lang w:eastAsia="ru-RU"/>
              </w:rPr>
              <w:t>33694000-1</w:t>
            </w:r>
          </w:p>
        </w:tc>
        <w:tc>
          <w:tcPr>
            <w:tcW w:w="3818" w:type="dxa"/>
          </w:tcPr>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 xml:space="preserve">Принцип аналізу повинен базуватися на проведенні реакції моноплексної ПЛР у реальному часі з гібридизаційно-флуоресцентною детекцією. </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Реєстрація реакції – флуориметричний  метод по двом каналам: FAM/Green та контроль біометеріалу по каналу HEX/Yellow.</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Чутливість: не гірше 1х103*копій/мл копій специфічної ДНК мішені на 1 мл біологічного зразка.</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Діагностична чутливість не менше 98%.</w:t>
            </w:r>
          </w:p>
          <w:p w:rsidR="00E7057A"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Діагностична специфічність не менше 98%.</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Зразок для аналізу: урогенітальний зішкріб.</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Склад набору:</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Буфер, готовий до використання (1.5 мл), прозора рідина від безбарвного до рожевого кольору.</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Полімераза, готова до використання  (0.12 мл), прозора безбарвна рідина.</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ПКЗ – позитивний контрольний зразок, готовий до використання ( 1 мл) прозора безбарвна рідина.</w:t>
            </w:r>
          </w:p>
          <w:p w:rsidR="00E7057A"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НКЗ– негативний контрольний зразок, готовий до використання ( 1 мл) прозора безбарвна рідина</w:t>
            </w:r>
          </w:p>
          <w:p w:rsidR="00E7057A" w:rsidRPr="00203DD6" w:rsidRDefault="00E7057A" w:rsidP="00E7057A">
            <w:pPr>
              <w:spacing w:after="0" w:line="240" w:lineRule="auto"/>
              <w:rPr>
                <w:rFonts w:ascii="Times New Roman" w:hAnsi="Times New Roman"/>
                <w:bCs/>
                <w:iCs/>
                <w:noProof/>
                <w:sz w:val="18"/>
                <w:szCs w:val="18"/>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1</w:t>
            </w:r>
            <w:r>
              <w:rPr>
                <w:rFonts w:ascii="Times New Roman" w:hAnsi="Times New Roman"/>
                <w:color w:val="000000"/>
                <w:sz w:val="18"/>
                <w:szCs w:val="18"/>
              </w:rPr>
              <w:t>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реагентів для виявлення ДНК </w:t>
            </w:r>
            <w:r w:rsidRPr="00CE6065">
              <w:rPr>
                <w:rFonts w:ascii="Times New Roman" w:hAnsi="Times New Roman"/>
                <w:i/>
                <w:iCs/>
                <w:color w:val="000000"/>
                <w:sz w:val="18"/>
                <w:szCs w:val="18"/>
              </w:rPr>
              <w:t>Gardnerellavaginalis</w:t>
            </w:r>
            <w:r w:rsidRPr="00CE6065">
              <w:rPr>
                <w:rFonts w:ascii="Times New Roman" w:hAnsi="Times New Roman"/>
                <w:color w:val="000000"/>
                <w:sz w:val="18"/>
                <w:szCs w:val="18"/>
              </w:rPr>
              <w:t xml:space="preserve">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48208</w:t>
            </w:r>
            <w:r w:rsidRPr="00AC4006">
              <w:rPr>
                <w:rFonts w:ascii="Times New Roman" w:hAnsi="Times New Roman"/>
                <w:bCs/>
                <w:iCs/>
                <w:noProof/>
                <w:sz w:val="18"/>
                <w:szCs w:val="20"/>
                <w:lang w:eastAsia="ru-RU"/>
              </w:rPr>
              <w:t>Множинні організми, пов'язані з вагінітом, нуклеїнова кислота IVD (діагностика in vitro ), набір, аналіз 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2C685B" w:rsidRDefault="00E7057A" w:rsidP="00E7057A">
            <w:pPr>
              <w:spacing w:after="0" w:line="240" w:lineRule="auto"/>
              <w:rPr>
                <w:rFonts w:ascii="Times New Roman" w:hAnsi="Times New Roman"/>
                <w:bCs/>
                <w:iCs/>
                <w:noProof/>
                <w:sz w:val="18"/>
                <w:szCs w:val="20"/>
                <w:lang w:eastAsia="ru-RU"/>
              </w:rPr>
            </w:pPr>
            <w:r w:rsidRPr="002C685B">
              <w:rPr>
                <w:rFonts w:ascii="Times New Roman" w:hAnsi="Times New Roman"/>
                <w:bCs/>
                <w:iCs/>
                <w:noProof/>
                <w:sz w:val="18"/>
                <w:szCs w:val="20"/>
                <w:lang w:eastAsia="ru-RU"/>
              </w:rPr>
              <w:t xml:space="preserve">Принцип аналізу повинен базуватися на проведенні моноплексної ПЛР у реальному часі з гібридизаційно-флуоресцентною детекцією. </w:t>
            </w:r>
          </w:p>
          <w:p w:rsidR="00E7057A" w:rsidRPr="002C685B" w:rsidRDefault="00E7057A" w:rsidP="00E7057A">
            <w:pPr>
              <w:spacing w:after="0" w:line="240" w:lineRule="auto"/>
              <w:rPr>
                <w:rFonts w:ascii="Times New Roman" w:hAnsi="Times New Roman"/>
                <w:bCs/>
                <w:iCs/>
                <w:noProof/>
                <w:sz w:val="18"/>
                <w:szCs w:val="20"/>
                <w:lang w:eastAsia="ru-RU"/>
              </w:rPr>
            </w:pPr>
            <w:r w:rsidRPr="002C685B">
              <w:rPr>
                <w:rFonts w:ascii="Times New Roman" w:hAnsi="Times New Roman"/>
                <w:bCs/>
                <w:iCs/>
                <w:noProof/>
                <w:sz w:val="18"/>
                <w:szCs w:val="20"/>
                <w:lang w:eastAsia="ru-RU"/>
              </w:rPr>
              <w:t>Реєстрація реакції – флуориметричний  метод по двом каналам: FAM/ та контроль біометеріалу по каналу HEX/Yellow.</w:t>
            </w:r>
          </w:p>
          <w:p w:rsidR="00E7057A" w:rsidRPr="002C685B" w:rsidRDefault="00E7057A" w:rsidP="00E7057A">
            <w:pPr>
              <w:spacing w:after="0" w:line="240" w:lineRule="auto"/>
              <w:rPr>
                <w:rFonts w:ascii="Times New Roman" w:hAnsi="Times New Roman"/>
                <w:bCs/>
                <w:iCs/>
                <w:noProof/>
                <w:sz w:val="18"/>
                <w:szCs w:val="20"/>
                <w:lang w:eastAsia="ru-RU"/>
              </w:rPr>
            </w:pPr>
            <w:r w:rsidRPr="002C685B">
              <w:rPr>
                <w:rFonts w:ascii="Times New Roman" w:hAnsi="Times New Roman"/>
                <w:bCs/>
                <w:iCs/>
                <w:noProof/>
                <w:sz w:val="18"/>
                <w:szCs w:val="20"/>
                <w:lang w:eastAsia="ru-RU"/>
              </w:rPr>
              <w:t>Аналітична чутливість не гірше 1*103 копій/мл</w:t>
            </w:r>
          </w:p>
          <w:p w:rsidR="00E7057A" w:rsidRPr="002C685B" w:rsidRDefault="00E7057A" w:rsidP="00E7057A">
            <w:pPr>
              <w:spacing w:after="0" w:line="240" w:lineRule="auto"/>
              <w:rPr>
                <w:rFonts w:ascii="Times New Roman" w:hAnsi="Times New Roman"/>
                <w:bCs/>
                <w:iCs/>
                <w:noProof/>
                <w:sz w:val="18"/>
                <w:szCs w:val="20"/>
                <w:lang w:eastAsia="ru-RU"/>
              </w:rPr>
            </w:pPr>
            <w:r w:rsidRPr="002C685B">
              <w:rPr>
                <w:rFonts w:ascii="Times New Roman" w:hAnsi="Times New Roman"/>
                <w:bCs/>
                <w:iCs/>
                <w:noProof/>
                <w:sz w:val="18"/>
                <w:szCs w:val="20"/>
                <w:lang w:eastAsia="ru-RU"/>
              </w:rPr>
              <w:t>Діагностична чутливість не менше 98%.</w:t>
            </w:r>
          </w:p>
          <w:p w:rsidR="00E7057A" w:rsidRDefault="00E7057A" w:rsidP="00E7057A">
            <w:pPr>
              <w:spacing w:after="0" w:line="240" w:lineRule="auto"/>
              <w:rPr>
                <w:rFonts w:ascii="Times New Roman" w:hAnsi="Times New Roman"/>
                <w:bCs/>
                <w:iCs/>
                <w:noProof/>
                <w:sz w:val="18"/>
                <w:szCs w:val="20"/>
                <w:lang w:eastAsia="ru-RU"/>
              </w:rPr>
            </w:pPr>
            <w:r w:rsidRPr="002C685B">
              <w:rPr>
                <w:rFonts w:ascii="Times New Roman" w:hAnsi="Times New Roman"/>
                <w:bCs/>
                <w:iCs/>
                <w:noProof/>
                <w:sz w:val="18"/>
                <w:szCs w:val="20"/>
                <w:lang w:eastAsia="ru-RU"/>
              </w:rPr>
              <w:t>Діагностична специфічність не менше 98%.</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Зразок для аналізу: урогенітальний зішкріб.</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Склад набору:</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Буфер, готовий до використання (1.5 мл), прозора рідина від безбарвного до рожевого кольору.</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Полімераза, готова до використання  (0.12 мл), прозора безбарвна рідина.</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ПКЗ – позитивний контрольний зразок, готовий до використання ( 1 мл) прозора безбарвна рідина.</w:t>
            </w:r>
          </w:p>
          <w:p w:rsidR="00E7057A" w:rsidRPr="00203DD6" w:rsidRDefault="00E7057A" w:rsidP="00E7057A">
            <w:pPr>
              <w:spacing w:after="0" w:line="240" w:lineRule="auto"/>
              <w:rPr>
                <w:rFonts w:ascii="Times New Roman" w:hAnsi="Times New Roman"/>
                <w:bCs/>
                <w:iCs/>
                <w:noProof/>
                <w:sz w:val="18"/>
                <w:szCs w:val="18"/>
                <w:lang w:eastAsia="ru-RU"/>
              </w:rPr>
            </w:pPr>
            <w:r w:rsidRPr="00203DD6">
              <w:rPr>
                <w:rFonts w:ascii="Times New Roman" w:hAnsi="Times New Roman"/>
                <w:bCs/>
                <w:iCs/>
                <w:noProof/>
                <w:sz w:val="18"/>
                <w:szCs w:val="18"/>
                <w:lang w:eastAsia="ru-RU"/>
              </w:rPr>
              <w:t>НКЗ– негативний контрольний зразок, готовий до використання ( 1 мл) прозора безбарвна рідина.</w:t>
            </w:r>
          </w:p>
          <w:p w:rsidR="00E7057A" w:rsidRPr="00203DD6" w:rsidRDefault="00E7057A" w:rsidP="00E7057A">
            <w:pPr>
              <w:spacing w:after="0" w:line="240" w:lineRule="auto"/>
              <w:rPr>
                <w:rFonts w:ascii="Times New Roman" w:hAnsi="Times New Roman"/>
                <w:bCs/>
                <w:iCs/>
                <w:noProof/>
                <w:sz w:val="18"/>
                <w:szCs w:val="18"/>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1</w:t>
            </w:r>
            <w:r>
              <w:rPr>
                <w:rFonts w:ascii="Times New Roman" w:hAnsi="Times New Roman"/>
                <w:color w:val="000000"/>
                <w:sz w:val="18"/>
                <w:szCs w:val="18"/>
              </w:rPr>
              <w:t>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реагентів для виявлення ДНК </w:t>
            </w:r>
            <w:r w:rsidRPr="00CE6065">
              <w:rPr>
                <w:rFonts w:ascii="Times New Roman" w:hAnsi="Times New Roman"/>
                <w:i/>
                <w:iCs/>
                <w:color w:val="000000"/>
                <w:sz w:val="18"/>
                <w:szCs w:val="18"/>
              </w:rPr>
              <w:t>Trichomonasvaginalis</w:t>
            </w:r>
            <w:r w:rsidRPr="00CE6065">
              <w:rPr>
                <w:rFonts w:ascii="Times New Roman" w:hAnsi="Times New Roman"/>
                <w:color w:val="000000"/>
                <w:sz w:val="18"/>
                <w:szCs w:val="18"/>
              </w:rPr>
              <w:t xml:space="preserve"> методом полімеразної ланцюгової реакції в реальному часі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96</w:t>
            </w:r>
            <w:r>
              <w:rPr>
                <w:rFonts w:ascii="Times New Roman" w:hAnsi="Times New Roman"/>
                <w:color w:val="000000"/>
                <w:sz w:val="18"/>
                <w:szCs w:val="18"/>
              </w:rPr>
              <w:t xml:space="preserve"> реакцій</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Pr>
                <w:rFonts w:ascii="Times New Roman" w:hAnsi="Times New Roman"/>
                <w:color w:val="000000"/>
                <w:sz w:val="18"/>
                <w:szCs w:val="18"/>
              </w:rPr>
              <w:t>24</w:t>
            </w:r>
          </w:p>
        </w:tc>
        <w:tc>
          <w:tcPr>
            <w:tcW w:w="1426" w:type="dxa"/>
          </w:tcPr>
          <w:p w:rsidR="00E7057A" w:rsidRPr="00CE6065" w:rsidRDefault="00E7057A" w:rsidP="00E7057A">
            <w:pPr>
              <w:spacing w:after="0" w:line="240" w:lineRule="auto"/>
              <w:ind w:left="-111" w:right="-47"/>
              <w:jc w:val="center"/>
              <w:rPr>
                <w:rFonts w:ascii="Times New Roman" w:hAnsi="Times New Roman"/>
                <w:bCs/>
                <w:iCs/>
                <w:noProof/>
                <w:sz w:val="18"/>
                <w:szCs w:val="20"/>
                <w:lang w:eastAsia="ru-RU"/>
              </w:rPr>
            </w:pPr>
            <w:r>
              <w:rPr>
                <w:rFonts w:ascii="Times New Roman" w:hAnsi="Times New Roman"/>
                <w:bCs/>
                <w:iCs/>
                <w:noProof/>
                <w:sz w:val="18"/>
                <w:szCs w:val="20"/>
                <w:lang w:eastAsia="ru-RU"/>
              </w:rPr>
              <w:t xml:space="preserve">52475 </w:t>
            </w:r>
            <w:r w:rsidRPr="00AC4006">
              <w:rPr>
                <w:rFonts w:ascii="Times New Roman" w:hAnsi="Times New Roman"/>
                <w:bCs/>
                <w:iCs/>
                <w:noProof/>
                <w:sz w:val="18"/>
                <w:szCs w:val="20"/>
                <w:lang w:eastAsia="ru-RU"/>
              </w:rPr>
              <w:t xml:space="preserve">Трихомонада вагінальна, нуклеїнові кислоти IVD (діагностика in vitro ), набір, аналіз </w:t>
            </w:r>
            <w:r w:rsidRPr="00AC4006">
              <w:rPr>
                <w:rFonts w:ascii="Times New Roman" w:hAnsi="Times New Roman"/>
                <w:bCs/>
                <w:iCs/>
                <w:noProof/>
                <w:sz w:val="18"/>
                <w:szCs w:val="20"/>
                <w:lang w:eastAsia="ru-RU"/>
              </w:rPr>
              <w:lastRenderedPageBreak/>
              <w:t>нуклеїнових кислот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lastRenderedPageBreak/>
              <w:t>33694000-1</w:t>
            </w:r>
          </w:p>
        </w:tc>
        <w:tc>
          <w:tcPr>
            <w:tcW w:w="3818" w:type="dxa"/>
          </w:tcPr>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 xml:space="preserve">Принцип аналізу – проведення реакції моноплексної ПЛР у реальному часі з гібридизаційно-флуоресцентною детекцією.. </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Реєстрація реакції – флуориметричний  метод по двом каналам: FAM/Green та контроль біометеріалу по каналу HEX/Yellow.</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Формат: на 96 реакцій.</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 xml:space="preserve">Чутливість: 1х103*копій/мл копій </w:t>
            </w:r>
            <w:r w:rsidRPr="00084D23">
              <w:rPr>
                <w:rFonts w:ascii="Times New Roman" w:hAnsi="Times New Roman"/>
                <w:bCs/>
                <w:iCs/>
                <w:noProof/>
                <w:sz w:val="18"/>
                <w:szCs w:val="20"/>
                <w:lang w:eastAsia="ru-RU"/>
              </w:rPr>
              <w:lastRenderedPageBreak/>
              <w:t>специфічної ДНК мішені на 1 мл біологічного зразка.</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Діагностична чутливість – не менше 98%.</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Діагностична специфічність набору складає не менше 98%.</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Зразок для аналізу: урогенітальні зішкріби, еякулят, осад сечі, секрет передміхурової залози.</w:t>
            </w:r>
          </w:p>
          <w:p w:rsidR="00E7057A" w:rsidRPr="00084D23"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Склад набору:</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Буфер, готовий до використання (1.5 мл), прозора рідина від безбарвного до рожевого кольору.</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Полімераза, готова до використання (0.1 мл), прозора безбарвна рідина.</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ПКЗ, готовий до використання (0.3 мл), прозора безбарвна рідина.</w:t>
            </w:r>
          </w:p>
          <w:p w:rsidR="00E7057A" w:rsidRPr="00084D23" w:rsidRDefault="00E7057A" w:rsidP="00E7057A">
            <w:pPr>
              <w:spacing w:after="0" w:line="240" w:lineRule="auto"/>
              <w:rPr>
                <w:rFonts w:ascii="Times New Roman" w:hAnsi="Times New Roman"/>
                <w:bCs/>
                <w:iCs/>
                <w:noProof/>
                <w:sz w:val="18"/>
                <w:szCs w:val="20"/>
                <w:lang w:eastAsia="ru-RU"/>
              </w:rPr>
            </w:pPr>
            <w:r w:rsidRPr="00084D23">
              <w:rPr>
                <w:rFonts w:ascii="Times New Roman" w:hAnsi="Times New Roman"/>
                <w:bCs/>
                <w:iCs/>
                <w:noProof/>
                <w:sz w:val="18"/>
                <w:szCs w:val="20"/>
                <w:lang w:eastAsia="ru-RU"/>
              </w:rPr>
              <w:t>НКЗ – негативний контрольний зразок, готовий до використання (0.5 мл) прозора безбарвна рідина.</w:t>
            </w:r>
          </w:p>
          <w:p w:rsidR="00E7057A" w:rsidRPr="00CE6065" w:rsidRDefault="00E7057A" w:rsidP="00E7057A">
            <w:pPr>
              <w:spacing w:after="0" w:line="240" w:lineRule="auto"/>
              <w:rPr>
                <w:rFonts w:ascii="Times New Roman" w:hAnsi="Times New Roman"/>
                <w:bCs/>
                <w:iCs/>
                <w:noProof/>
                <w:sz w:val="18"/>
                <w:szCs w:val="20"/>
                <w:lang w:eastAsia="ru-RU"/>
              </w:rPr>
            </w:pP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1</w:t>
            </w:r>
            <w:r>
              <w:rPr>
                <w:rFonts w:ascii="Times New Roman" w:hAnsi="Times New Roman"/>
                <w:color w:val="000000"/>
                <w:sz w:val="18"/>
                <w:szCs w:val="18"/>
              </w:rPr>
              <w:t>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Тест-система для визначення тиреотропного гормону 2 ген.</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200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50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54386 Тиреоїдний гормон (ТТГ)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Pr>
                <w:rFonts w:ascii="Times New Roman" w:hAnsi="Times New Roman"/>
                <w:color w:val="000000"/>
                <w:sz w:val="18"/>
                <w:szCs w:val="18"/>
              </w:rPr>
              <w:t>19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Імуноаналіз для кількісного виявлення вільного трийодтироніну, cobas e 411/601/602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200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54417 Вільний трийодтиронін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незв'язаного тироксину, gen.III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200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54413 Вільний тироксин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антитіл до тиреопероксидази, вер. 3 /Anti-TPO Gen.3</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60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58729 Тиреопероксидаза, антитіла (анти-ТПО, мікросомальні антитіла)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Імуноаналіз для кількісного визначення антитіл до тиреоглобуліну, cobas e 411/601/602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58728 Тиреоглобулін, антитіла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Імуноаналіз для кількісного визначення тиреоглобуліну, cobas 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54375 Тиреоглобулін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лютеїнізуючого гормону / LH</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7</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54254 Лютеїнізувальний гормон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Імуноаналіз для кількісного визначення фолікулостимулюючого гормону, cobas e 411/601/602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54187 Фолікулостимулювальний гормон (ФСГ)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кількісного визначення пролактину /Prolactin ІІ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54335 Пролактин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2</w:t>
            </w:r>
            <w:r>
              <w:rPr>
                <w:rFonts w:ascii="Times New Roman" w:hAnsi="Times New Roman"/>
                <w:color w:val="000000"/>
                <w:sz w:val="18"/>
                <w:szCs w:val="18"/>
              </w:rPr>
              <w:t>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Імуноаналіз для кількісного визначення тестостерону, cobas e 411/601/602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61077 Загальний тестостерон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2</w:t>
            </w:r>
            <w:r>
              <w:rPr>
                <w:rFonts w:ascii="Times New Roman" w:hAnsi="Times New Roman"/>
                <w:color w:val="000000"/>
                <w:sz w:val="18"/>
                <w:szCs w:val="18"/>
              </w:rPr>
              <w:t>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визначення естрадіолу III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7</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60979 Естрадіол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Pr>
                <w:rFonts w:ascii="Times New Roman" w:hAnsi="Times New Roman"/>
                <w:noProof/>
                <w:sz w:val="18"/>
                <w:szCs w:val="18"/>
              </w:rPr>
              <w:t>29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прогестерону /Progesterone III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7</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54322 Прогестерон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Elecsys для кількісного визначення суми хоріонічногогонадотропіну людини (ХГЛ) і бета-субодиниці (HCG+ß)</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7</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54211 Загальний хоріонічнийгонадотропін людини (ХГЛ)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Elecsys для кількісного визначення вільного бета-ХГЛ (FreeßhCG)</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42664 Набір для визначення бета- ядерного фрагменту хоріонічногогонадотропіну людини (бета-ХГЛ), імунохемілюмінесцентний аналіз, IVD (діагностика invitro )</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Elecsys для кількісного визначення асоційованого з вагітністю білку плазми А (PAPP-A)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54304 Білок А плазми (асоційований з вагітністю) IVD (діагностика invitro ), реагент</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кількісного визначення глобуліну /SHBG</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54360 Глобулін, що зв’язує статеві гормони (SHBG)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визначення дегідроепіандростерон-сульфату /DHEA-S</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54139 Дегідроепіандростерон сульфат (DHEAS)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Elecsys для кількісного визначення концентрації загального простатоспецифічного антигену (Total PSA)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54665 Загальний простатичний специфічний антиген (ПСА)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реагентів Elecsys для кількісного визначення вільного простатоспецифічного антигену (free PSA)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54669 Вільний (незв'язаний) простатичний специфічний антиген (ПСА)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визначення ракового антигену 125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8</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 xml:space="preserve">54588 Раковий антиген 125 (СА125) IVD (діагностика invitro </w:t>
            </w:r>
            <w:r w:rsidRPr="00E1498E">
              <w:rPr>
                <w:rFonts w:ascii="Times New Roman" w:hAnsi="Times New Roman"/>
                <w:sz w:val="16"/>
                <w:szCs w:val="16"/>
              </w:rPr>
              <w:lastRenderedPageBreak/>
              <w:t>),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lastRenderedPageBreak/>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38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кількісного визначення ракового антигену 15-3 /CA 15-3 II CancerAntigen 15-3</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8</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60975 Раковий антиген 15-3 (CA15-3)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39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карциноембріонального антигену /CEA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54615 Раково-ембріональний антиген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CA 19-9 /CA 19-9</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8</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60976 Раковий антиген 19-9 (CA19-9)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імуноглобуліну Е / IgE ІІ</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53775 Загальний імуноглобулін Е ( загальний IgE ) IVD (діагностика invitro ), комплект, хемілюмінесцентний імунологічний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визначення кортизолу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7</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54125 Загальний кортизол IVD (діагностика invitro ), набір, хемілюмінесцентний імунологічний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Імунотест для кількісного визначення інсуліну /Insulin</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54237 Інсулін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визначення феритину (100)</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61078 Ферритин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Імуноаналіз для кількісного визначення кальцитоніну (тирокальцитоніну), cobas e 411/601/602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54084 Кальцитонін IVD (діагностика invitro ), набір, хемілюмінесцентний імунологічний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напівкількісного визначення анти- ЦЦП /Anti-CCP</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61080 Циклічний цитрулінований пептид, антитіла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Тест для визначення рівня вітаміну В12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100 тестів</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60779 Вітамін B12 IVD (діагностика invitro ), набір, імунохемілюмінесцентний аналіз</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Калібраційний набір TSH </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1.3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38272 Тиреотропний гормон (ТТГ)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49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калібрування кількісного тесту Elecsys FT3 III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38261 Вільний трийодтиронін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калібрування імунотестуElecsys FT4 ІІІ, 4 х 1.0 мл</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38259 Вільний тироксин IVD (діагностика invitro),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Калібрувальний набір для тесту </w:t>
            </w:r>
            <w:r w:rsidRPr="00CE6065">
              <w:rPr>
                <w:rFonts w:ascii="Times New Roman" w:hAnsi="Times New Roman"/>
                <w:color w:val="000000"/>
                <w:sz w:val="18"/>
                <w:szCs w:val="18"/>
              </w:rPr>
              <w:lastRenderedPageBreak/>
              <w:t xml:space="preserve">Anti-TPO </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lastRenderedPageBreak/>
              <w:t>4 x 1,5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 xml:space="preserve">55205 Тиреопероксидаза, </w:t>
            </w:r>
            <w:r w:rsidRPr="00E1498E">
              <w:rPr>
                <w:rFonts w:ascii="Times New Roman" w:hAnsi="Times New Roman"/>
                <w:sz w:val="16"/>
                <w:szCs w:val="16"/>
              </w:rPr>
              <w:lastRenderedPageBreak/>
              <w:t>антитіла (АТ-ТПО, мікросомальні антитіла)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lastRenderedPageBreak/>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w:t>
            </w:r>
            <w:r w:rsidRPr="00FB27D4">
              <w:rPr>
                <w:rFonts w:ascii="Times New Roman" w:hAnsi="Times New Roman"/>
                <w:bCs/>
                <w:iCs/>
                <w:noProof/>
                <w:sz w:val="18"/>
                <w:szCs w:val="20"/>
                <w:lang w:eastAsia="ru-RU"/>
              </w:rPr>
              <w:lastRenderedPageBreak/>
              <w:t>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52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калібрування кількісного тесту ElecsysAnti-Tg</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 xml:space="preserve">4 x 1.5 мл(ml) </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55199 Тиреоглобулін, антитіла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для калібрування кількісного аналізу ElecsysTg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 xml:space="preserve">4 x 1 мл (ml) </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41712 Тиреоглобулін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кількісного аналізу Elecsys LH /LH CS Gen.2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38270 Лютеїнізувальний гормон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калібрування кількісного тесту Elecsys FSH</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x1.0 мл</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38255 Фолікулостимулювальний гормон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Prolactin ІІ /Prolactin ІІ CalSet</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54337 Пролактин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аналізу Testosterone Gen.2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58381 Загальний тестостерон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для визначення естрадіолу III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38249 Естрадіол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59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Калібратор для Progesterone III / Progesterone III CalSet</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54325 Прогестерон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калібрування кількісного визначення суми хоріонічногогонадотропінулюдини (ХГЛ) і бета-субодиниці (HCG+ ß)</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38266 Хоріонічнийгонадотропін людини бета-субодиниця (бета-ХГЛ)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кількісного визначення вільного бета-ХГЛ (freeßhCG)</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38266 Хоріонічнийгонадотропін людини бета-субодиниця (бета-ХГЛ)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кількісного визначення асоційованого з вагітністю білку плазми А (PAPP-A)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54302 Білок А плазми (асоційований з вагітністю)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для кількісного визначення глобуліну /SHBG CalSet</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42181 Глобулін, що зв'язує статеві гормони, калібратор, IVD (діагностика invitro )</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DHEA-S /DHEA-S CS</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54140 Дегідроепіандростерон сульфат (DHEAS)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Калібрувальний набір Elecsys для </w:t>
            </w:r>
            <w:r w:rsidRPr="00CE6065">
              <w:rPr>
                <w:rFonts w:ascii="Times New Roman" w:hAnsi="Times New Roman"/>
                <w:color w:val="000000"/>
                <w:sz w:val="18"/>
                <w:szCs w:val="18"/>
              </w:rPr>
              <w:lastRenderedPageBreak/>
              <w:t>кількісного визначення концентрації загального простатоспецифічного антигену II (Total PSA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lastRenderedPageBreak/>
              <w:t>4 x 1.0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 xml:space="preserve">38208 Загальний простатичний </w:t>
            </w:r>
            <w:r w:rsidRPr="00E1498E">
              <w:rPr>
                <w:rFonts w:ascii="Times New Roman" w:hAnsi="Times New Roman"/>
                <w:sz w:val="16"/>
                <w:szCs w:val="16"/>
              </w:rPr>
              <w:lastRenderedPageBreak/>
              <w:t>специфічний антиген (ПСА)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lastRenderedPageBreak/>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w:t>
            </w:r>
            <w:r w:rsidRPr="00FB27D4">
              <w:rPr>
                <w:rFonts w:ascii="Times New Roman" w:hAnsi="Times New Roman"/>
                <w:bCs/>
                <w:iCs/>
                <w:noProof/>
                <w:sz w:val="18"/>
                <w:szCs w:val="20"/>
                <w:lang w:eastAsia="ru-RU"/>
              </w:rPr>
              <w:lastRenderedPageBreak/>
              <w:t>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66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кількісного визначення вільного простатоспецифічного антигену (free PSA)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38183 Вільний (незв'язаний) простатичний специфічний антиген (ПСА)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для визначення ракового антигену 125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38231 Раковий антиген 125 (СА125)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CA 15-3 II /CA 15-3 II CalSet</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38223 Раковий антиген 15-3 (СА15-3)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69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Калібрувальний набір для тесту CEA </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38174 Раково-ембріональний антиген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Калібрувальний набір для тесту CA 19-9 </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38225 Раковий антиген 19-9 (СА19-9) IVD (діагностика invitro ), калiбратор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IgE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53777 Загальний імуноглобулін Е (загальний IgE)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для визначення кортизолу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54126 Загальний кортизол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Insulin</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42091 Інсулін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кількісного аналізу ElecsysFerritin /Ferritin CS Gen.2</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41927 Феритин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калібрування кількісного тесту ElecsysCalcitonin</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1.0 мл</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41840 Кальцитонін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Калібрувальний набір для тесту для визначення рівня вітаміну В12 II</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1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3</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41337 Вітамін В12 IVD (діагностика invitro ), калібратор</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контрольних сироваток PreciControl Універсал</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х 3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47869 Множинні аналіти клінічної хімії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контрольних сироваток PreciControlThyroAB</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2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61249 Численні маркери щитоподібної залози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79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Набір контрольних сироваток PreciControl для маркерів материнського </w:t>
            </w:r>
            <w:r w:rsidRPr="00CE6065">
              <w:rPr>
                <w:rFonts w:ascii="Times New Roman" w:hAnsi="Times New Roman"/>
                <w:color w:val="000000"/>
                <w:sz w:val="18"/>
                <w:szCs w:val="18"/>
              </w:rPr>
              <w:lastRenderedPageBreak/>
              <w:t>скринінгу</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lastRenderedPageBreak/>
              <w:t>6 х 3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54018 Множинні гормони людини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80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контрольних сироваток Анти-ЦЦП</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x 2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54899 Циклічний цитрулінований пептид, антитіла (anti-CCP)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контрольних сироваток PreciControl для визначення онкомаркерів</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х 3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38220 Множинні тканиноспецифічі білки/пухлинні маркери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контрольних сироваток Varia</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4 х 3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60998 Численні аналіти, пов'язані з анемією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33694000-1</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Системний розчин для генерації електрохімічних сигналів в імуноаналізаторахElecsys, cobas 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6 х 380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58237 Буферний розчинник зразків IVD (діагностика invitro ), автоматичні/ напівавтоматичні системи</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33696500-0</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Системний розчин для чистки детекторного блоку, Elecsys, cobas e </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6 х 380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59058 Мийний/очищувальний розчин IVD (діагностика invitro ) для автоматизованих/ напівавтоматизованих систем</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33696500-0</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Розчин ElecsysSysWash</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 х 500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шт</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r>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58236 Буферний розчин для промивання IVD (діагностика invitro ), автоматичні/ напівавтоматичні системи</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33696500-0</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Очищуючий розчин ISE CleaningSolution/ElecsysSysClean</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5 х 100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59058 Мийний/очищувальний розчин IVD (діагностика invitro ) для автоматизованих/ напівавтоматизованих систем</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33696500-0</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87</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Розчинник DiluentEstradiol/Progesterone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2 х 22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58237 Буферний розчинник зразків IVD (діагностика invitro ), автоматичні/ напівавтоматичні системи</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33696500-0</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88</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Розчинник універсальний /UniversalDiluent</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2 х 36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8</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58237 Буферний розчинник зразків IVD (діагностика invitro ), автоматичні/ напівавтоматичні системи</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33696500-0</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89</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Ковпачок (реакційна пробірка)  для використання в системах cobas e 411/Elecsys 2010</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60 х 60</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паков</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20</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61032 Кювета для лабораторного аналізатора IVD (діагностика invitro ) одноразового використання</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90</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Накінечник  для використання в системах cobas e 411/Elecsys 2010</w:t>
            </w:r>
          </w:p>
        </w:tc>
        <w:tc>
          <w:tcPr>
            <w:tcW w:w="709" w:type="dxa"/>
          </w:tcPr>
          <w:p w:rsidR="00E7057A" w:rsidRPr="00CE6065" w:rsidRDefault="00E7057A" w:rsidP="00E7057A">
            <w:pPr>
              <w:spacing w:after="0" w:line="240" w:lineRule="auto"/>
              <w:ind w:left="-151" w:right="-12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 xml:space="preserve">30 х 120 </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паков</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26</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16822 Наконечник піпетки</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91</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Пробірка для зразків </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5000 шт</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паков</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61032 Кювета для лабораторного аналізатора IVD (діагностика invitro ) одноразового використання</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92</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 xml:space="preserve">Сервісний </w:t>
            </w:r>
            <w:r w:rsidRPr="00CE6065">
              <w:rPr>
                <w:rFonts w:ascii="Times New Roman" w:hAnsi="Times New Roman"/>
                <w:color w:val="000000"/>
                <w:sz w:val="18"/>
                <w:szCs w:val="18"/>
              </w:rPr>
              <w:lastRenderedPageBreak/>
              <w:t>калібраційний розчин Elecsys,cobas 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lastRenderedPageBreak/>
              <w:t xml:space="preserve">2 x 50 </w:t>
            </w:r>
            <w:r w:rsidRPr="00CE6065">
              <w:rPr>
                <w:rFonts w:ascii="Times New Roman" w:hAnsi="Times New Roman"/>
                <w:color w:val="000000"/>
                <w:sz w:val="18"/>
                <w:szCs w:val="18"/>
              </w:rPr>
              <w:lastRenderedPageBreak/>
              <w:t>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lastRenderedPageBreak/>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 xml:space="preserve">58048 Розчин для калібрування/ </w:t>
            </w:r>
            <w:r w:rsidRPr="00E1498E">
              <w:rPr>
                <w:rFonts w:ascii="Times New Roman" w:hAnsi="Times New Roman"/>
                <w:sz w:val="16"/>
                <w:szCs w:val="16"/>
              </w:rPr>
              <w:lastRenderedPageBreak/>
              <w:t>перевіряння оптичного інструменту IVD (діагностика invitro )</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lastRenderedPageBreak/>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w:t>
            </w:r>
            <w:r w:rsidRPr="00FB27D4">
              <w:rPr>
                <w:rFonts w:ascii="Times New Roman" w:hAnsi="Times New Roman"/>
                <w:bCs/>
                <w:iCs/>
                <w:noProof/>
                <w:sz w:val="18"/>
                <w:szCs w:val="20"/>
                <w:lang w:eastAsia="ru-RU"/>
              </w:rPr>
              <w:lastRenderedPageBreak/>
              <w:t>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lastRenderedPageBreak/>
              <w:t>93</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Сервісний набір SAP, Elecsys,cobas 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1 фл.12мл (ml), 1</w:t>
            </w:r>
            <w:r>
              <w:rPr>
                <w:rFonts w:ascii="Times New Roman" w:hAnsi="Times New Roman"/>
                <w:color w:val="000000"/>
                <w:sz w:val="18"/>
                <w:szCs w:val="18"/>
              </w:rPr>
              <w:t> </w:t>
            </w:r>
            <w:r w:rsidRPr="00CE6065">
              <w:rPr>
                <w:rFonts w:ascii="Times New Roman" w:hAnsi="Times New Roman"/>
                <w:color w:val="000000"/>
                <w:sz w:val="18"/>
                <w:szCs w:val="18"/>
              </w:rPr>
              <w:t>фл.40мл (ml), 1</w:t>
            </w:r>
            <w:r>
              <w:rPr>
                <w:rFonts w:ascii="Times New Roman" w:hAnsi="Times New Roman"/>
                <w:color w:val="000000"/>
                <w:sz w:val="18"/>
                <w:szCs w:val="18"/>
              </w:rPr>
              <w:t> </w:t>
            </w:r>
            <w:r w:rsidRPr="00CE6065">
              <w:rPr>
                <w:rFonts w:ascii="Times New Roman" w:hAnsi="Times New Roman"/>
                <w:color w:val="000000"/>
                <w:sz w:val="18"/>
                <w:szCs w:val="18"/>
              </w:rPr>
              <w:t>фл.18мл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1</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53658 Множинні компоненти комплементу IVD (діагностика invitro ), контрольний матеріал</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94</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Контрольний розчин Elecsys,cobas e</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3 x 40 мл (ml)</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58048 Розчин для калібрування/ перевіряння оптичного інструменту IVD (діагностика invitro )</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95</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обслуговування Е2010/Е411, 6 місяців</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 </w:t>
            </w:r>
            <w:r>
              <w:rPr>
                <w:rFonts w:ascii="Times New Roman" w:hAnsi="Times New Roman"/>
                <w:color w:val="000000"/>
                <w:sz w:val="18"/>
                <w:szCs w:val="18"/>
              </w:rPr>
              <w:t>1 шт</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4</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59058 Мийний/очищувальний розчин IVD (діагностика invitro ) для автоматизованих/ напівавтоматизованих систем</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r w:rsidR="00E7057A" w:rsidRPr="00CE6065" w:rsidTr="00665385">
        <w:trPr>
          <w:trHeight w:val="20"/>
        </w:trPr>
        <w:tc>
          <w:tcPr>
            <w:tcW w:w="493" w:type="dxa"/>
            <w:shd w:val="clear" w:color="auto" w:fill="auto"/>
          </w:tcPr>
          <w:p w:rsidR="00E7057A" w:rsidRPr="00CE6065" w:rsidRDefault="00E7057A" w:rsidP="00E7057A">
            <w:pPr>
              <w:spacing w:after="0" w:line="240" w:lineRule="auto"/>
              <w:jc w:val="center"/>
              <w:rPr>
                <w:rFonts w:ascii="Times New Roman" w:hAnsi="Times New Roman"/>
                <w:noProof/>
                <w:sz w:val="18"/>
                <w:szCs w:val="18"/>
              </w:rPr>
            </w:pPr>
            <w:r w:rsidRPr="00CE6065">
              <w:rPr>
                <w:rFonts w:ascii="Times New Roman" w:hAnsi="Times New Roman"/>
                <w:color w:val="000000"/>
                <w:sz w:val="18"/>
                <w:szCs w:val="18"/>
              </w:rPr>
              <w:t>96</w:t>
            </w:r>
          </w:p>
        </w:tc>
        <w:tc>
          <w:tcPr>
            <w:tcW w:w="1776" w:type="dxa"/>
            <w:shd w:val="clear" w:color="auto" w:fill="auto"/>
          </w:tcPr>
          <w:p w:rsidR="00E7057A" w:rsidRPr="00CE6065" w:rsidRDefault="00E7057A" w:rsidP="00E7057A">
            <w:pPr>
              <w:spacing w:after="0" w:line="240" w:lineRule="auto"/>
              <w:rPr>
                <w:rFonts w:ascii="Times New Roman" w:hAnsi="Times New Roman"/>
                <w:noProof/>
                <w:sz w:val="18"/>
                <w:szCs w:val="18"/>
                <w:lang w:eastAsia="ru-RU"/>
              </w:rPr>
            </w:pPr>
            <w:r w:rsidRPr="00CE6065">
              <w:rPr>
                <w:rFonts w:ascii="Times New Roman" w:hAnsi="Times New Roman"/>
                <w:color w:val="000000"/>
                <w:sz w:val="18"/>
                <w:szCs w:val="18"/>
              </w:rPr>
              <w:t>Набір для обслуговування Е2010/Е411, 12 місяців</w:t>
            </w:r>
          </w:p>
        </w:tc>
        <w:tc>
          <w:tcPr>
            <w:tcW w:w="709" w:type="dxa"/>
          </w:tcPr>
          <w:p w:rsidR="00E7057A" w:rsidRPr="00CE6065" w:rsidRDefault="00E7057A" w:rsidP="00E7057A">
            <w:pPr>
              <w:spacing w:after="0" w:line="240" w:lineRule="auto"/>
              <w:ind w:left="-66" w:right="-72"/>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 </w:t>
            </w:r>
            <w:r>
              <w:rPr>
                <w:rFonts w:ascii="Times New Roman" w:hAnsi="Times New Roman"/>
                <w:color w:val="000000"/>
                <w:sz w:val="18"/>
                <w:szCs w:val="18"/>
              </w:rPr>
              <w:t>1шт</w:t>
            </w:r>
          </w:p>
        </w:tc>
        <w:tc>
          <w:tcPr>
            <w:tcW w:w="708" w:type="dxa"/>
            <w:shd w:val="clear" w:color="auto" w:fill="auto"/>
          </w:tcPr>
          <w:p w:rsidR="00E7057A" w:rsidRPr="00CE6065" w:rsidRDefault="00E7057A" w:rsidP="00E7057A">
            <w:pPr>
              <w:spacing w:after="0" w:line="240" w:lineRule="auto"/>
              <w:ind w:left="-69" w:right="-94"/>
              <w:jc w:val="center"/>
              <w:rPr>
                <w:rFonts w:ascii="Times New Roman" w:eastAsia="Times New Roman" w:hAnsi="Times New Roman"/>
                <w:noProof/>
                <w:sz w:val="18"/>
                <w:szCs w:val="18"/>
                <w:lang w:eastAsia="ru-RU"/>
              </w:rPr>
            </w:pPr>
            <w:r w:rsidRPr="00CE6065">
              <w:rPr>
                <w:rFonts w:ascii="Times New Roman" w:hAnsi="Times New Roman"/>
                <w:color w:val="000000"/>
                <w:sz w:val="18"/>
                <w:szCs w:val="18"/>
              </w:rPr>
              <w:t>набір</w:t>
            </w:r>
          </w:p>
        </w:tc>
        <w:tc>
          <w:tcPr>
            <w:tcW w:w="426" w:type="dxa"/>
            <w:shd w:val="clear" w:color="auto" w:fill="auto"/>
          </w:tcPr>
          <w:p w:rsidR="00E7057A" w:rsidRPr="00CE6065" w:rsidRDefault="00E7057A" w:rsidP="00E7057A">
            <w:pPr>
              <w:spacing w:after="0" w:line="240" w:lineRule="auto"/>
              <w:jc w:val="center"/>
              <w:rPr>
                <w:rFonts w:ascii="Times New Roman" w:hAnsi="Times New Roman"/>
                <w:bCs/>
                <w:iCs/>
                <w:noProof/>
                <w:sz w:val="18"/>
                <w:szCs w:val="18"/>
                <w:lang w:eastAsia="ru-RU"/>
              </w:rPr>
            </w:pPr>
            <w:r w:rsidRPr="00CE6065">
              <w:rPr>
                <w:rFonts w:ascii="Times New Roman" w:hAnsi="Times New Roman"/>
                <w:color w:val="000000"/>
                <w:sz w:val="18"/>
                <w:szCs w:val="18"/>
              </w:rPr>
              <w:t>2</w:t>
            </w:r>
          </w:p>
        </w:tc>
        <w:tc>
          <w:tcPr>
            <w:tcW w:w="1426" w:type="dxa"/>
            <w:vAlign w:val="bottom"/>
          </w:tcPr>
          <w:p w:rsidR="00E7057A" w:rsidRPr="00E1498E" w:rsidRDefault="00E7057A" w:rsidP="00E7057A">
            <w:pPr>
              <w:spacing w:after="0" w:line="240" w:lineRule="auto"/>
              <w:ind w:left="-111" w:right="-47"/>
              <w:jc w:val="center"/>
              <w:rPr>
                <w:rFonts w:ascii="Times New Roman" w:hAnsi="Times New Roman"/>
                <w:bCs/>
                <w:iCs/>
                <w:noProof/>
                <w:sz w:val="16"/>
                <w:szCs w:val="16"/>
                <w:lang w:eastAsia="ru-RU"/>
              </w:rPr>
            </w:pPr>
            <w:r w:rsidRPr="00E1498E">
              <w:rPr>
                <w:rFonts w:ascii="Times New Roman" w:hAnsi="Times New Roman"/>
                <w:sz w:val="16"/>
                <w:szCs w:val="16"/>
              </w:rPr>
              <w:t>59058 Мийний/очищувальний розчин IVD (діагностика invitro ) для автоматизованих/ напівавтоматизованих систем</w:t>
            </w:r>
          </w:p>
        </w:tc>
        <w:tc>
          <w:tcPr>
            <w:tcW w:w="1134" w:type="dxa"/>
          </w:tcPr>
          <w:p w:rsidR="00E7057A" w:rsidRPr="00CE6065" w:rsidRDefault="00E7057A" w:rsidP="00E7057A">
            <w:pPr>
              <w:spacing w:after="0" w:line="240" w:lineRule="auto"/>
              <w:jc w:val="center"/>
              <w:rPr>
                <w:rFonts w:ascii="Times New Roman" w:hAnsi="Times New Roman"/>
                <w:bCs/>
                <w:iCs/>
                <w:noProof/>
                <w:sz w:val="18"/>
                <w:szCs w:val="20"/>
                <w:lang w:eastAsia="ru-RU"/>
              </w:rPr>
            </w:pPr>
            <w:r w:rsidRPr="00F7693E">
              <w:rPr>
                <w:rFonts w:ascii="Times New Roman" w:hAnsi="Times New Roman"/>
                <w:bCs/>
                <w:iCs/>
                <w:noProof/>
                <w:sz w:val="18"/>
                <w:szCs w:val="20"/>
                <w:lang w:eastAsia="ru-RU"/>
              </w:rPr>
              <w:t>33695000-8</w:t>
            </w:r>
          </w:p>
        </w:tc>
        <w:tc>
          <w:tcPr>
            <w:tcW w:w="3818" w:type="dxa"/>
          </w:tcPr>
          <w:p w:rsidR="00E7057A" w:rsidRPr="00CE6065" w:rsidRDefault="00E7057A" w:rsidP="00E7057A">
            <w:pPr>
              <w:spacing w:after="0" w:line="240" w:lineRule="auto"/>
              <w:rPr>
                <w:rFonts w:ascii="Times New Roman" w:hAnsi="Times New Roman"/>
                <w:bCs/>
                <w:iCs/>
                <w:noProof/>
                <w:sz w:val="18"/>
                <w:szCs w:val="20"/>
                <w:lang w:eastAsia="ru-RU"/>
              </w:rPr>
            </w:pPr>
            <w:r>
              <w:rPr>
                <w:rFonts w:ascii="Times New Roman" w:hAnsi="Times New Roman"/>
                <w:bCs/>
                <w:iCs/>
                <w:noProof/>
                <w:sz w:val="18"/>
                <w:szCs w:val="20"/>
                <w:lang w:eastAsia="ru-RU"/>
              </w:rPr>
              <w:t>Сумісність із а</w:t>
            </w:r>
            <w:r w:rsidRPr="00FB27D4">
              <w:rPr>
                <w:rFonts w:ascii="Times New Roman" w:hAnsi="Times New Roman"/>
                <w:bCs/>
                <w:iCs/>
                <w:noProof/>
                <w:sz w:val="18"/>
                <w:szCs w:val="20"/>
                <w:lang w:eastAsia="ru-RU"/>
              </w:rPr>
              <w:t>втоматичн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електрохемілюмінесцентн</w:t>
            </w:r>
            <w:r>
              <w:rPr>
                <w:rFonts w:ascii="Times New Roman" w:hAnsi="Times New Roman"/>
                <w:bCs/>
                <w:iCs/>
                <w:noProof/>
                <w:sz w:val="18"/>
                <w:szCs w:val="20"/>
                <w:lang w:eastAsia="ru-RU"/>
              </w:rPr>
              <w:t>им</w:t>
            </w:r>
            <w:r w:rsidRPr="00FB27D4">
              <w:rPr>
                <w:rFonts w:ascii="Times New Roman" w:hAnsi="Times New Roman"/>
                <w:bCs/>
                <w:iCs/>
                <w:noProof/>
                <w:sz w:val="18"/>
                <w:szCs w:val="20"/>
                <w:lang w:eastAsia="ru-RU"/>
              </w:rPr>
              <w:t xml:space="preserve"> аналізатор</w:t>
            </w:r>
            <w:r>
              <w:rPr>
                <w:rFonts w:ascii="Times New Roman" w:hAnsi="Times New Roman"/>
                <w:bCs/>
                <w:iCs/>
                <w:noProof/>
                <w:sz w:val="18"/>
                <w:szCs w:val="20"/>
                <w:lang w:eastAsia="ru-RU"/>
              </w:rPr>
              <w:t>ом</w:t>
            </w:r>
            <w:r w:rsidRPr="00FB27D4">
              <w:rPr>
                <w:rFonts w:ascii="Times New Roman" w:hAnsi="Times New Roman"/>
                <w:bCs/>
                <w:iCs/>
                <w:noProof/>
                <w:sz w:val="18"/>
                <w:szCs w:val="20"/>
                <w:lang w:eastAsia="ru-RU"/>
              </w:rPr>
              <w:t xml:space="preserve"> Cobas e 411, виробництва Roche</w:t>
            </w:r>
          </w:p>
        </w:tc>
      </w:tr>
    </w:tbl>
    <w:p w:rsidR="00E7057A" w:rsidRDefault="00E7057A" w:rsidP="00E7057A">
      <w:pPr>
        <w:ind w:right="262"/>
        <w:jc w:val="center"/>
        <w:rPr>
          <w:rFonts w:ascii="Times New Roman" w:hAnsi="Times New Roman"/>
          <w:b/>
          <w:sz w:val="20"/>
          <w:szCs w:val="20"/>
          <w:u w:val="single"/>
        </w:rPr>
      </w:pPr>
    </w:p>
    <w:p w:rsidR="00E7057A" w:rsidRPr="00B0082A" w:rsidRDefault="00E7057A" w:rsidP="00E7057A">
      <w:pPr>
        <w:ind w:left="142"/>
        <w:jc w:val="both"/>
        <w:rPr>
          <w:rFonts w:ascii="Times New Roman" w:hAnsi="Times New Roman"/>
          <w:i/>
          <w:noProof/>
          <w:sz w:val="18"/>
          <w:szCs w:val="18"/>
        </w:rPr>
      </w:pPr>
      <w:r w:rsidRPr="00B0082A">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w:t>
      </w:r>
      <w:r>
        <w:rPr>
          <w:rFonts w:ascii="Times New Roman" w:hAnsi="Times New Roman"/>
          <w:i/>
          <w:noProof/>
          <w:sz w:val="18"/>
          <w:szCs w:val="18"/>
        </w:rPr>
        <w:t>/або</w:t>
      </w:r>
      <w:r w:rsidRPr="00B0082A">
        <w:rPr>
          <w:rFonts w:ascii="Times New Roman" w:hAnsi="Times New Roman"/>
          <w:i/>
          <w:noProof/>
          <w:sz w:val="18"/>
          <w:szCs w:val="18"/>
        </w:rPr>
        <w:t xml:space="preserve"> буде використовуватись з уже наявним </w:t>
      </w:r>
      <w:r>
        <w:rPr>
          <w:rFonts w:ascii="Times New Roman" w:hAnsi="Times New Roman"/>
          <w:i/>
          <w:noProof/>
          <w:sz w:val="18"/>
          <w:szCs w:val="18"/>
        </w:rPr>
        <w:t>у Замовника медичним та/або лабораторним</w:t>
      </w:r>
      <w:r w:rsidRPr="00B0082A">
        <w:rPr>
          <w:rFonts w:ascii="Times New Roman" w:hAnsi="Times New Roman"/>
          <w:i/>
          <w:noProof/>
          <w:sz w:val="18"/>
          <w:szCs w:val="18"/>
        </w:rPr>
        <w:t>обладнанням, а тому дуже важливо для сумісності із таким обладнанням чітко дотримуватись зазначених технічних вимог.</w:t>
      </w:r>
    </w:p>
    <w:p w:rsidR="00E7057A" w:rsidRPr="004F381F" w:rsidRDefault="00E7057A" w:rsidP="00E7057A">
      <w:pPr>
        <w:pStyle w:val="Standard"/>
        <w:ind w:firstLine="708"/>
        <w:jc w:val="both"/>
        <w:rPr>
          <w:b/>
          <w:bCs/>
          <w:iCs/>
          <w:noProof/>
          <w:color w:val="000000"/>
          <w:sz w:val="22"/>
          <w:szCs w:val="22"/>
          <w:shd w:val="clear" w:color="auto" w:fill="FFFFFF"/>
          <w:lang w:val="uk-UA"/>
        </w:rPr>
      </w:pPr>
      <w:r w:rsidRPr="004F381F">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E7057A" w:rsidRPr="004F381F" w:rsidRDefault="00E7057A" w:rsidP="00E7057A">
      <w:pPr>
        <w:tabs>
          <w:tab w:val="num" w:pos="360"/>
        </w:tabs>
        <w:spacing w:after="0" w:line="240" w:lineRule="auto"/>
        <w:jc w:val="both"/>
        <w:rPr>
          <w:rFonts w:ascii="Times New Roman" w:hAnsi="Times New Roman"/>
          <w:noProof/>
          <w:color w:val="000000"/>
        </w:rPr>
      </w:pPr>
      <w:r w:rsidRPr="004F381F">
        <w:rPr>
          <w:rFonts w:ascii="Times New Roman" w:hAnsi="Times New Roman"/>
          <w:noProof/>
          <w:color w:val="000000"/>
        </w:rPr>
        <w:t>1. Медичні вироби повинні бути дозволені для введення в обіг та/або експлуатацію (застосування)</w:t>
      </w:r>
      <w:r>
        <w:rPr>
          <w:rFonts w:ascii="Times New Roman" w:hAnsi="Times New Roman"/>
          <w:noProof/>
          <w:color w:val="000000"/>
        </w:rPr>
        <w:t xml:space="preserve"> на території України</w:t>
      </w:r>
      <w:r w:rsidRPr="004F381F">
        <w:rPr>
          <w:rFonts w:ascii="Times New Roman" w:hAnsi="Times New Roman"/>
          <w:noProof/>
          <w:color w:val="000000"/>
        </w:rPr>
        <w:t xml:space="preserve"> відповідно до </w:t>
      </w:r>
      <w:r>
        <w:rPr>
          <w:rFonts w:ascii="Times New Roman" w:hAnsi="Times New Roman"/>
          <w:noProof/>
          <w:color w:val="000000"/>
        </w:rPr>
        <w:t xml:space="preserve">чинного </w:t>
      </w:r>
      <w:r w:rsidRPr="004F381F">
        <w:rPr>
          <w:rFonts w:ascii="Times New Roman" w:hAnsi="Times New Roman"/>
          <w:noProof/>
          <w:color w:val="000000"/>
        </w:rPr>
        <w:t>законодавства</w:t>
      </w:r>
      <w:r>
        <w:rPr>
          <w:rFonts w:ascii="Times New Roman" w:hAnsi="Times New Roman"/>
          <w:noProof/>
          <w:color w:val="000000"/>
        </w:rPr>
        <w:t xml:space="preserve"> України</w:t>
      </w:r>
      <w:r w:rsidRPr="004F381F">
        <w:rPr>
          <w:rFonts w:ascii="Times New Roman" w:hAnsi="Times New Roman"/>
          <w:noProof/>
          <w:color w:val="000000"/>
        </w:rPr>
        <w:t xml:space="preserve">. Ця вимога засвідчується </w:t>
      </w:r>
      <w:r>
        <w:rPr>
          <w:rFonts w:ascii="Times New Roman" w:hAnsi="Times New Roman"/>
          <w:noProof/>
          <w:color w:val="000000"/>
        </w:rPr>
        <w:t>наданням</w:t>
      </w:r>
      <w:r w:rsidRPr="004F381F">
        <w:rPr>
          <w:rFonts w:ascii="Times New Roman" w:hAnsi="Times New Roman"/>
          <w:noProof/>
          <w:color w:val="000000"/>
        </w:rPr>
        <w:t xml:space="preserve">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постачанні надати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E7057A" w:rsidRPr="00AF3C77" w:rsidRDefault="00E7057A" w:rsidP="00E7057A">
      <w:pPr>
        <w:tabs>
          <w:tab w:val="num" w:pos="360"/>
        </w:tabs>
        <w:spacing w:after="0" w:line="240" w:lineRule="auto"/>
        <w:jc w:val="both"/>
        <w:rPr>
          <w:rFonts w:ascii="Times New Roman" w:hAnsi="Times New Roman"/>
          <w:noProof/>
        </w:rPr>
      </w:pPr>
      <w:r w:rsidRPr="00AC4006">
        <w:rPr>
          <w:rFonts w:ascii="Times New Roman" w:hAnsi="Times New Roman"/>
          <w:noProof/>
          <w:color w:val="000000"/>
          <w:shd w:val="clear" w:color="auto" w:fill="FFFFFF"/>
        </w:rPr>
        <w:t>2.</w:t>
      </w:r>
      <w:r w:rsidRPr="00AC4006">
        <w:rPr>
          <w:rFonts w:ascii="Times New Roman" w:hAnsi="Times New Roman"/>
          <w:noProof/>
        </w:rPr>
        <w:t xml:space="preserve"> На товар, що пропонується учасником, повинні бути надані інформаційні матеріали: каталоги, та/або буклети, та/або копії інструкцій по застосуванню, та/або </w:t>
      </w:r>
      <w:bookmarkStart w:id="7" w:name="_GoBack"/>
      <w:bookmarkEnd w:id="7"/>
      <w:r w:rsidRPr="00AF3C77">
        <w:rPr>
          <w:rFonts w:ascii="Times New Roman" w:hAnsi="Times New Roman"/>
          <w:noProof/>
        </w:rPr>
        <w:t>копії технічних паспортів, та/або інший документ, тощо українською мовою.</w:t>
      </w:r>
    </w:p>
    <w:p w:rsidR="00E7057A" w:rsidRDefault="00E7057A" w:rsidP="00E7057A">
      <w:pPr>
        <w:widowControl w:val="0"/>
        <w:autoSpaceDE w:val="0"/>
        <w:autoSpaceDN w:val="0"/>
        <w:adjustRightInd w:val="0"/>
        <w:spacing w:after="0" w:line="240" w:lineRule="auto"/>
        <w:jc w:val="both"/>
        <w:rPr>
          <w:rFonts w:ascii="Times New Roman" w:eastAsia="Times New Roman" w:hAnsi="Times New Roman"/>
          <w:noProof/>
          <w:lang w:eastAsia="ru-RU"/>
        </w:rPr>
      </w:pPr>
      <w:r w:rsidRPr="00AF3C77">
        <w:rPr>
          <w:rFonts w:ascii="Times New Roman" w:hAnsi="Times New Roman"/>
          <w:noProof/>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AF3C77">
        <w:rPr>
          <w:rFonts w:ascii="Times New Roman" w:eastAsia="Times New Roman" w:hAnsi="Times New Roman"/>
          <w:noProof/>
          <w:lang w:eastAsia="ru-RU"/>
        </w:rPr>
        <w:t>У разі</w:t>
      </w:r>
      <w:r w:rsidRPr="00454E73">
        <w:rPr>
          <w:rFonts w:ascii="Times New Roman" w:eastAsia="Times New Roman" w:hAnsi="Times New Roman"/>
          <w:noProof/>
          <w:lang w:eastAsia="ru-RU"/>
        </w:rPr>
        <w:t xml:space="preserve"> подання еквівалентного товару до найменування товару, що зазначене Замовником в Специфікації Тендерної документації, Учасник подає таблицю з детальною порівняльною характеристикою запропонованого ним еквівалентного товару та товару, що зазначений Замовником в Специфікації. В таблиці з детальною порівняльною характеристикою учасник подає відомості щодо відповідності запропонованого ним еквівалентного товару медико-технічним вимогам Замовника з посиланням на відповідні сторінки інструкцій, сертифікатів якості, каталогів виробника на такий товар</w:t>
      </w:r>
      <w:r w:rsidRPr="00B51552">
        <w:rPr>
          <w:rFonts w:ascii="Times New Roman" w:eastAsia="Times New Roman" w:hAnsi="Times New Roman"/>
          <w:noProof/>
          <w:lang w:eastAsia="ru-RU"/>
        </w:rPr>
        <w:t>з обовʼязковим наданням таких документів у складі своєї тендерної пропозиції</w:t>
      </w:r>
      <w:r w:rsidRPr="00454E73">
        <w:rPr>
          <w:rFonts w:ascii="Times New Roman" w:eastAsia="Times New Roman" w:hAnsi="Times New Roman"/>
          <w:noProof/>
          <w:lang w:eastAsia="ru-RU"/>
        </w:rPr>
        <w:t xml:space="preserve">. Еквівалентність визначається замовником. </w:t>
      </w:r>
    </w:p>
    <w:p w:rsidR="00E7057A" w:rsidRDefault="00E7057A" w:rsidP="00E7057A">
      <w:pPr>
        <w:widowControl w:val="0"/>
        <w:autoSpaceDE w:val="0"/>
        <w:autoSpaceDN w:val="0"/>
        <w:adjustRightInd w:val="0"/>
        <w:spacing w:after="0" w:line="240" w:lineRule="auto"/>
        <w:jc w:val="both"/>
        <w:rPr>
          <w:rFonts w:ascii="Times New Roman" w:eastAsia="Times New Roman" w:hAnsi="Times New Roman"/>
          <w:noProof/>
          <w:lang w:eastAsia="ru-RU"/>
        </w:rPr>
      </w:pPr>
    </w:p>
    <w:p w:rsidR="00E7057A" w:rsidRDefault="00E7057A" w:rsidP="00E7057A">
      <w:pPr>
        <w:widowControl w:val="0"/>
        <w:autoSpaceDE w:val="0"/>
        <w:autoSpaceDN w:val="0"/>
        <w:adjustRightInd w:val="0"/>
        <w:spacing w:after="0" w:line="240" w:lineRule="auto"/>
        <w:jc w:val="both"/>
        <w:rPr>
          <w:rFonts w:ascii="Times New Roman" w:eastAsia="Times New Roman" w:hAnsi="Times New Roman"/>
          <w:noProof/>
          <w:lang w:eastAsia="ru-RU"/>
        </w:rPr>
      </w:pPr>
    </w:p>
    <w:p w:rsidR="00E7057A" w:rsidRPr="00454E73" w:rsidRDefault="00E7057A" w:rsidP="00E7057A">
      <w:pPr>
        <w:widowControl w:val="0"/>
        <w:autoSpaceDE w:val="0"/>
        <w:autoSpaceDN w:val="0"/>
        <w:adjustRightInd w:val="0"/>
        <w:spacing w:after="0" w:line="240" w:lineRule="auto"/>
        <w:jc w:val="both"/>
        <w:rPr>
          <w:rFonts w:ascii="Times New Roman" w:eastAsia="Times New Roman" w:hAnsi="Times New Roman"/>
          <w:noProof/>
          <w:lang w:eastAsia="ru-RU"/>
        </w:rPr>
      </w:pPr>
    </w:p>
    <w:p w:rsidR="00E7057A" w:rsidRPr="00454E73" w:rsidRDefault="00E7057A" w:rsidP="00E7057A">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p>
    <w:p w:rsidR="00E7057A" w:rsidRDefault="00E7057A" w:rsidP="00E7057A">
      <w:pPr>
        <w:ind w:right="133"/>
        <w:jc w:val="center"/>
        <w:textAlignment w:val="baseline"/>
        <w:rPr>
          <w:rFonts w:ascii="Times New Roman" w:hAnsi="Times New Roman"/>
          <w:b/>
          <w:noProof/>
          <w:sz w:val="20"/>
          <w:szCs w:val="20"/>
        </w:rPr>
      </w:pPr>
      <w:r w:rsidRPr="00454E73">
        <w:rPr>
          <w:rFonts w:ascii="Times New Roman" w:hAnsi="Times New Roman"/>
          <w:b/>
          <w:noProof/>
          <w:sz w:val="20"/>
          <w:szCs w:val="20"/>
        </w:rPr>
        <w:t>Детальна порівняльна характеристика запропонованого еквівалентного товару**</w:t>
      </w:r>
    </w:p>
    <w:tbl>
      <w:tblPr>
        <w:tblW w:w="11572"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1017"/>
        <w:gridCol w:w="594"/>
        <w:gridCol w:w="438"/>
        <w:gridCol w:w="2103"/>
        <w:gridCol w:w="2250"/>
        <w:gridCol w:w="567"/>
        <w:gridCol w:w="425"/>
        <w:gridCol w:w="2410"/>
        <w:gridCol w:w="1365"/>
      </w:tblGrid>
      <w:tr w:rsidR="00E7057A" w:rsidRPr="00454E73" w:rsidTr="00E7057A">
        <w:trPr>
          <w:trHeight w:val="516"/>
        </w:trPr>
        <w:tc>
          <w:tcPr>
            <w:tcW w:w="403" w:type="dxa"/>
            <w:vMerge w:val="restart"/>
            <w:shd w:val="clear" w:color="auto" w:fill="auto"/>
          </w:tcPr>
          <w:p w:rsidR="00E7057A" w:rsidRPr="00454E73" w:rsidRDefault="00E7057A" w:rsidP="00E7057A">
            <w:pPr>
              <w:jc w:val="center"/>
              <w:textAlignment w:val="baseline"/>
              <w:rPr>
                <w:rFonts w:ascii="Times New Roman" w:hAnsi="Times New Roman"/>
                <w:noProof/>
                <w:sz w:val="14"/>
                <w:szCs w:val="14"/>
              </w:rPr>
            </w:pPr>
            <w:r w:rsidRPr="00454E73">
              <w:rPr>
                <w:rFonts w:ascii="Times New Roman" w:hAnsi="Times New Roman"/>
                <w:noProof/>
                <w:sz w:val="14"/>
                <w:szCs w:val="14"/>
              </w:rPr>
              <w:t>№</w:t>
            </w:r>
          </w:p>
          <w:p w:rsidR="00E7057A" w:rsidRPr="00454E73" w:rsidRDefault="00E7057A" w:rsidP="00E7057A">
            <w:pPr>
              <w:jc w:val="center"/>
              <w:textAlignment w:val="baseline"/>
              <w:rPr>
                <w:rFonts w:ascii="Times New Roman" w:hAnsi="Times New Roman"/>
                <w:noProof/>
                <w:sz w:val="14"/>
                <w:szCs w:val="14"/>
              </w:rPr>
            </w:pPr>
            <w:r w:rsidRPr="00454E73">
              <w:rPr>
                <w:rFonts w:ascii="Times New Roman" w:hAnsi="Times New Roman"/>
                <w:noProof/>
                <w:sz w:val="14"/>
                <w:szCs w:val="14"/>
              </w:rPr>
              <w:t>п/п</w:t>
            </w:r>
          </w:p>
        </w:tc>
        <w:tc>
          <w:tcPr>
            <w:tcW w:w="4152" w:type="dxa"/>
            <w:gridSpan w:val="4"/>
            <w:shd w:val="clear" w:color="auto" w:fill="auto"/>
          </w:tcPr>
          <w:p w:rsidR="00E7057A" w:rsidRPr="00454E73" w:rsidRDefault="00E7057A" w:rsidP="00E7057A">
            <w:pPr>
              <w:ind w:right="133"/>
              <w:jc w:val="center"/>
              <w:textAlignment w:val="baseline"/>
              <w:rPr>
                <w:rFonts w:ascii="Times New Roman" w:hAnsi="Times New Roman"/>
                <w:noProof/>
                <w:sz w:val="14"/>
                <w:szCs w:val="14"/>
              </w:rPr>
            </w:pPr>
            <w:r w:rsidRPr="00454E73">
              <w:rPr>
                <w:rFonts w:ascii="Times New Roman" w:hAnsi="Times New Roman"/>
                <w:noProof/>
                <w:sz w:val="14"/>
                <w:szCs w:val="14"/>
              </w:rPr>
              <w:t>Найменування товару відповідно до Специфікації Додатку 2 Тендерної документації</w:t>
            </w:r>
          </w:p>
        </w:tc>
        <w:tc>
          <w:tcPr>
            <w:tcW w:w="7017" w:type="dxa"/>
            <w:gridSpan w:val="5"/>
            <w:shd w:val="clear" w:color="auto" w:fill="auto"/>
          </w:tcPr>
          <w:p w:rsidR="00E7057A" w:rsidRPr="00454E73" w:rsidRDefault="00E7057A" w:rsidP="00E7057A">
            <w:pPr>
              <w:ind w:right="133"/>
              <w:jc w:val="center"/>
              <w:textAlignment w:val="baseline"/>
              <w:rPr>
                <w:rFonts w:ascii="Times New Roman" w:hAnsi="Times New Roman"/>
                <w:noProof/>
                <w:sz w:val="14"/>
                <w:szCs w:val="14"/>
              </w:rPr>
            </w:pPr>
            <w:r w:rsidRPr="00454E73">
              <w:rPr>
                <w:rFonts w:ascii="Times New Roman" w:hAnsi="Times New Roman"/>
                <w:noProof/>
                <w:sz w:val="14"/>
                <w:szCs w:val="14"/>
              </w:rPr>
              <w:t>Найменування запропонованого Учасником еквівалентного товару у тендерній пропозиції</w:t>
            </w:r>
          </w:p>
        </w:tc>
      </w:tr>
      <w:tr w:rsidR="00E7057A" w:rsidRPr="00454E73" w:rsidTr="00E7057A">
        <w:trPr>
          <w:trHeight w:val="146"/>
        </w:trPr>
        <w:tc>
          <w:tcPr>
            <w:tcW w:w="403" w:type="dxa"/>
            <w:vMerge/>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1017" w:type="dxa"/>
            <w:shd w:val="clear" w:color="auto" w:fill="auto"/>
            <w:vAlign w:val="center"/>
          </w:tcPr>
          <w:p w:rsidR="00E7057A" w:rsidRPr="00454E73" w:rsidRDefault="00E7057A" w:rsidP="00E7057A">
            <w:pPr>
              <w:ind w:right="-64"/>
              <w:jc w:val="center"/>
              <w:textAlignment w:val="baseline"/>
              <w:rPr>
                <w:rFonts w:ascii="Times New Roman" w:hAnsi="Times New Roman"/>
                <w:noProof/>
                <w:sz w:val="14"/>
                <w:szCs w:val="14"/>
              </w:rPr>
            </w:pPr>
            <w:r w:rsidRPr="00AF3C77">
              <w:rPr>
                <w:rFonts w:ascii="Times New Roman" w:hAnsi="Times New Roman"/>
                <w:noProof/>
                <w:sz w:val="14"/>
                <w:szCs w:val="14"/>
              </w:rPr>
              <w:t>Найменування товару, що закуповується</w:t>
            </w:r>
          </w:p>
        </w:tc>
        <w:tc>
          <w:tcPr>
            <w:tcW w:w="594" w:type="dxa"/>
            <w:shd w:val="clear" w:color="auto" w:fill="auto"/>
            <w:vAlign w:val="center"/>
          </w:tcPr>
          <w:p w:rsidR="00E7057A" w:rsidRPr="00454E73" w:rsidRDefault="00E7057A" w:rsidP="00E7057A">
            <w:pPr>
              <w:ind w:left="-82" w:right="-88"/>
              <w:jc w:val="center"/>
              <w:textAlignment w:val="baseline"/>
              <w:rPr>
                <w:rFonts w:ascii="Times New Roman" w:hAnsi="Times New Roman"/>
                <w:noProof/>
                <w:sz w:val="14"/>
                <w:szCs w:val="14"/>
              </w:rPr>
            </w:pPr>
            <w:r w:rsidRPr="00454E73">
              <w:rPr>
                <w:rFonts w:ascii="Times New Roman" w:eastAsia="Times New Roman" w:hAnsi="Times New Roman"/>
                <w:bCs/>
                <w:noProof/>
                <w:sz w:val="14"/>
                <w:szCs w:val="14"/>
              </w:rPr>
              <w:t>Од. вим.</w:t>
            </w:r>
          </w:p>
        </w:tc>
        <w:tc>
          <w:tcPr>
            <w:tcW w:w="438" w:type="dxa"/>
            <w:shd w:val="clear" w:color="auto" w:fill="auto"/>
            <w:vAlign w:val="center"/>
          </w:tcPr>
          <w:p w:rsidR="00E7057A" w:rsidRPr="00454E73" w:rsidRDefault="00E7057A" w:rsidP="00E7057A">
            <w:pPr>
              <w:ind w:right="-108"/>
              <w:textAlignment w:val="baseline"/>
              <w:rPr>
                <w:rFonts w:ascii="Times New Roman" w:hAnsi="Times New Roman"/>
                <w:noProof/>
                <w:sz w:val="14"/>
                <w:szCs w:val="14"/>
              </w:rPr>
            </w:pPr>
            <w:r w:rsidRPr="00454E73">
              <w:rPr>
                <w:rFonts w:ascii="Times New Roman" w:eastAsia="Times New Roman" w:hAnsi="Times New Roman"/>
                <w:bCs/>
                <w:noProof/>
                <w:sz w:val="14"/>
                <w:szCs w:val="14"/>
              </w:rPr>
              <w:t>К-ть</w:t>
            </w:r>
          </w:p>
        </w:tc>
        <w:tc>
          <w:tcPr>
            <w:tcW w:w="2103" w:type="dxa"/>
            <w:vAlign w:val="center"/>
          </w:tcPr>
          <w:p w:rsidR="00E7057A" w:rsidRPr="00454E73" w:rsidRDefault="00E7057A" w:rsidP="00E7057A">
            <w:pPr>
              <w:tabs>
                <w:tab w:val="left" w:pos="300"/>
              </w:tabs>
              <w:ind w:left="-45" w:right="-80"/>
              <w:jc w:val="center"/>
              <w:textAlignment w:val="baseline"/>
              <w:rPr>
                <w:rFonts w:ascii="Times New Roman" w:hAnsi="Times New Roman"/>
                <w:noProof/>
                <w:sz w:val="14"/>
                <w:szCs w:val="14"/>
              </w:rPr>
            </w:pPr>
            <w:r w:rsidRPr="00454E73">
              <w:rPr>
                <w:rFonts w:ascii="Times New Roman" w:eastAsia="Times New Roman" w:hAnsi="Times New Roman"/>
                <w:noProof/>
                <w:sz w:val="14"/>
                <w:szCs w:val="14"/>
              </w:rPr>
              <w:t>Медико</w:t>
            </w:r>
            <w:r>
              <w:rPr>
                <w:rFonts w:ascii="Times New Roman" w:eastAsia="Times New Roman" w:hAnsi="Times New Roman"/>
                <w:noProof/>
                <w:sz w:val="14"/>
                <w:szCs w:val="14"/>
              </w:rPr>
              <w:t>-</w:t>
            </w:r>
            <w:r w:rsidRPr="00454E73">
              <w:rPr>
                <w:rFonts w:ascii="Times New Roman" w:eastAsia="Times New Roman" w:hAnsi="Times New Roman"/>
                <w:noProof/>
                <w:sz w:val="14"/>
                <w:szCs w:val="14"/>
              </w:rPr>
              <w:t>технічні вимоги</w:t>
            </w:r>
          </w:p>
        </w:tc>
        <w:tc>
          <w:tcPr>
            <w:tcW w:w="2250"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r w:rsidRPr="00454E73">
              <w:rPr>
                <w:rFonts w:ascii="Times New Roman" w:hAnsi="Times New Roman"/>
                <w:noProof/>
                <w:sz w:val="14"/>
                <w:szCs w:val="14"/>
              </w:rPr>
              <w:t>Найменування товару згідно документів виробника</w:t>
            </w:r>
          </w:p>
        </w:tc>
        <w:tc>
          <w:tcPr>
            <w:tcW w:w="567" w:type="dxa"/>
            <w:shd w:val="clear" w:color="auto" w:fill="auto"/>
            <w:vAlign w:val="center"/>
          </w:tcPr>
          <w:p w:rsidR="00E7057A" w:rsidRPr="00454E73" w:rsidRDefault="00E7057A" w:rsidP="00E7057A">
            <w:pPr>
              <w:tabs>
                <w:tab w:val="left" w:pos="1424"/>
              </w:tabs>
              <w:ind w:right="-108"/>
              <w:jc w:val="center"/>
              <w:textAlignment w:val="baseline"/>
              <w:rPr>
                <w:rFonts w:ascii="Times New Roman" w:hAnsi="Times New Roman"/>
                <w:noProof/>
                <w:sz w:val="14"/>
                <w:szCs w:val="14"/>
              </w:rPr>
            </w:pPr>
            <w:r w:rsidRPr="00454E73">
              <w:rPr>
                <w:rFonts w:ascii="Times New Roman" w:eastAsia="Times New Roman" w:hAnsi="Times New Roman"/>
                <w:bCs/>
                <w:noProof/>
                <w:sz w:val="14"/>
                <w:szCs w:val="14"/>
              </w:rPr>
              <w:t>Од. вим.</w:t>
            </w:r>
          </w:p>
        </w:tc>
        <w:tc>
          <w:tcPr>
            <w:tcW w:w="425" w:type="dxa"/>
            <w:shd w:val="clear" w:color="auto" w:fill="auto"/>
            <w:vAlign w:val="center"/>
          </w:tcPr>
          <w:p w:rsidR="00E7057A" w:rsidRPr="00454E73" w:rsidRDefault="00E7057A" w:rsidP="00E7057A">
            <w:pPr>
              <w:ind w:right="-108"/>
              <w:jc w:val="center"/>
              <w:textAlignment w:val="baseline"/>
              <w:rPr>
                <w:rFonts w:ascii="Times New Roman" w:hAnsi="Times New Roman"/>
                <w:noProof/>
                <w:sz w:val="14"/>
                <w:szCs w:val="14"/>
              </w:rPr>
            </w:pPr>
            <w:r w:rsidRPr="00454E73">
              <w:rPr>
                <w:rFonts w:ascii="Times New Roman" w:eastAsia="Times New Roman" w:hAnsi="Times New Roman"/>
                <w:bCs/>
                <w:noProof/>
                <w:sz w:val="14"/>
                <w:szCs w:val="14"/>
              </w:rPr>
              <w:t>К-ть</w:t>
            </w:r>
          </w:p>
        </w:tc>
        <w:tc>
          <w:tcPr>
            <w:tcW w:w="2410" w:type="dxa"/>
            <w:vAlign w:val="center"/>
          </w:tcPr>
          <w:p w:rsidR="00E7057A" w:rsidRPr="00454E73" w:rsidRDefault="00E7057A" w:rsidP="00E7057A">
            <w:pPr>
              <w:ind w:right="-108"/>
              <w:jc w:val="center"/>
              <w:textAlignment w:val="baseline"/>
              <w:rPr>
                <w:rFonts w:ascii="Times New Roman" w:hAnsi="Times New Roman"/>
                <w:noProof/>
                <w:sz w:val="14"/>
                <w:szCs w:val="14"/>
              </w:rPr>
            </w:pPr>
            <w:r w:rsidRPr="00454E73">
              <w:rPr>
                <w:rFonts w:ascii="Times New Roman" w:eastAsia="Times New Roman" w:hAnsi="Times New Roman"/>
                <w:noProof/>
                <w:sz w:val="14"/>
                <w:szCs w:val="14"/>
              </w:rPr>
              <w:t>Медико технічні характеристики</w:t>
            </w:r>
          </w:p>
        </w:tc>
        <w:tc>
          <w:tcPr>
            <w:tcW w:w="1365" w:type="dxa"/>
          </w:tcPr>
          <w:p w:rsidR="00E7057A" w:rsidRPr="00454E73" w:rsidRDefault="00E7057A" w:rsidP="00E7057A">
            <w:pPr>
              <w:ind w:right="-108"/>
              <w:jc w:val="center"/>
              <w:textAlignment w:val="baseline"/>
              <w:rPr>
                <w:rFonts w:ascii="Times New Roman" w:eastAsia="Times New Roman" w:hAnsi="Times New Roman"/>
                <w:noProof/>
                <w:sz w:val="14"/>
                <w:szCs w:val="14"/>
              </w:rPr>
            </w:pPr>
            <w:r w:rsidRPr="00454E73">
              <w:rPr>
                <w:rFonts w:ascii="Times New Roman" w:eastAsia="Times New Roman" w:hAnsi="Times New Roman"/>
                <w:noProof/>
                <w:sz w:val="14"/>
                <w:szCs w:val="14"/>
              </w:rPr>
              <w:t>Відповідність (так/ні) з посиланням на відповідні сторінки інструкцій, сертифікатів якості, каталогів виробника</w:t>
            </w:r>
          </w:p>
        </w:tc>
      </w:tr>
      <w:tr w:rsidR="00E7057A" w:rsidRPr="00454E73" w:rsidTr="00E7057A">
        <w:trPr>
          <w:trHeight w:val="340"/>
        </w:trPr>
        <w:tc>
          <w:tcPr>
            <w:tcW w:w="403"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r w:rsidRPr="00454E73">
              <w:rPr>
                <w:rFonts w:ascii="Times New Roman" w:hAnsi="Times New Roman"/>
                <w:noProof/>
                <w:sz w:val="14"/>
                <w:szCs w:val="14"/>
              </w:rPr>
              <w:t>1</w:t>
            </w:r>
          </w:p>
        </w:tc>
        <w:tc>
          <w:tcPr>
            <w:tcW w:w="1017"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594"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438" w:type="dxa"/>
            <w:shd w:val="clear" w:color="auto" w:fill="auto"/>
          </w:tcPr>
          <w:p w:rsidR="00E7057A" w:rsidRPr="00454E73" w:rsidRDefault="00E7057A" w:rsidP="00E7057A">
            <w:pPr>
              <w:ind w:right="-108"/>
              <w:jc w:val="center"/>
              <w:textAlignment w:val="baseline"/>
              <w:rPr>
                <w:rFonts w:ascii="Times New Roman" w:hAnsi="Times New Roman"/>
                <w:noProof/>
                <w:sz w:val="14"/>
                <w:szCs w:val="14"/>
              </w:rPr>
            </w:pPr>
          </w:p>
        </w:tc>
        <w:tc>
          <w:tcPr>
            <w:tcW w:w="2103" w:type="dxa"/>
          </w:tcPr>
          <w:p w:rsidR="00E7057A" w:rsidRPr="00454E73" w:rsidRDefault="00E7057A" w:rsidP="00E7057A">
            <w:pPr>
              <w:ind w:right="133"/>
              <w:jc w:val="center"/>
              <w:textAlignment w:val="baseline"/>
              <w:rPr>
                <w:rFonts w:ascii="Times New Roman" w:hAnsi="Times New Roman"/>
                <w:noProof/>
                <w:sz w:val="14"/>
                <w:szCs w:val="14"/>
              </w:rPr>
            </w:pPr>
          </w:p>
        </w:tc>
        <w:tc>
          <w:tcPr>
            <w:tcW w:w="2250"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567" w:type="dxa"/>
            <w:shd w:val="clear" w:color="auto" w:fill="auto"/>
          </w:tcPr>
          <w:p w:rsidR="00E7057A" w:rsidRPr="00454E73" w:rsidRDefault="00E7057A" w:rsidP="00E7057A">
            <w:pPr>
              <w:tabs>
                <w:tab w:val="left" w:pos="1424"/>
              </w:tabs>
              <w:ind w:right="-108"/>
              <w:jc w:val="center"/>
              <w:textAlignment w:val="baseline"/>
              <w:rPr>
                <w:rFonts w:ascii="Times New Roman" w:hAnsi="Times New Roman"/>
                <w:noProof/>
                <w:sz w:val="14"/>
                <w:szCs w:val="14"/>
              </w:rPr>
            </w:pPr>
          </w:p>
        </w:tc>
        <w:tc>
          <w:tcPr>
            <w:tcW w:w="425" w:type="dxa"/>
            <w:shd w:val="clear" w:color="auto" w:fill="auto"/>
          </w:tcPr>
          <w:p w:rsidR="00E7057A" w:rsidRPr="00454E73" w:rsidRDefault="00E7057A" w:rsidP="00E7057A">
            <w:pPr>
              <w:ind w:right="-108"/>
              <w:jc w:val="center"/>
              <w:textAlignment w:val="baseline"/>
              <w:rPr>
                <w:rFonts w:ascii="Times New Roman" w:hAnsi="Times New Roman"/>
                <w:noProof/>
                <w:sz w:val="14"/>
                <w:szCs w:val="14"/>
              </w:rPr>
            </w:pPr>
          </w:p>
        </w:tc>
        <w:tc>
          <w:tcPr>
            <w:tcW w:w="2410" w:type="dxa"/>
          </w:tcPr>
          <w:p w:rsidR="00E7057A" w:rsidRPr="00454E73" w:rsidRDefault="00E7057A" w:rsidP="00E7057A">
            <w:pPr>
              <w:ind w:right="-108"/>
              <w:jc w:val="center"/>
              <w:textAlignment w:val="baseline"/>
              <w:rPr>
                <w:rFonts w:ascii="Times New Roman" w:hAnsi="Times New Roman"/>
                <w:noProof/>
                <w:sz w:val="14"/>
                <w:szCs w:val="14"/>
              </w:rPr>
            </w:pPr>
          </w:p>
        </w:tc>
        <w:tc>
          <w:tcPr>
            <w:tcW w:w="1365" w:type="dxa"/>
          </w:tcPr>
          <w:p w:rsidR="00E7057A" w:rsidRPr="00454E73" w:rsidRDefault="00E7057A" w:rsidP="00E7057A">
            <w:pPr>
              <w:ind w:right="-108"/>
              <w:jc w:val="center"/>
              <w:textAlignment w:val="baseline"/>
              <w:rPr>
                <w:rFonts w:ascii="Times New Roman" w:hAnsi="Times New Roman"/>
                <w:noProof/>
                <w:sz w:val="14"/>
                <w:szCs w:val="14"/>
              </w:rPr>
            </w:pPr>
          </w:p>
        </w:tc>
      </w:tr>
      <w:tr w:rsidR="00E7057A" w:rsidRPr="00454E73" w:rsidTr="00E7057A">
        <w:trPr>
          <w:trHeight w:val="340"/>
        </w:trPr>
        <w:tc>
          <w:tcPr>
            <w:tcW w:w="403"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r w:rsidRPr="00454E73">
              <w:rPr>
                <w:rFonts w:ascii="Times New Roman" w:hAnsi="Times New Roman"/>
                <w:noProof/>
                <w:sz w:val="14"/>
                <w:szCs w:val="14"/>
              </w:rPr>
              <w:t>2</w:t>
            </w:r>
          </w:p>
        </w:tc>
        <w:tc>
          <w:tcPr>
            <w:tcW w:w="1017"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594"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438" w:type="dxa"/>
            <w:shd w:val="clear" w:color="auto" w:fill="auto"/>
          </w:tcPr>
          <w:p w:rsidR="00E7057A" w:rsidRPr="00454E73" w:rsidRDefault="00E7057A" w:rsidP="00E7057A">
            <w:pPr>
              <w:ind w:right="-108"/>
              <w:jc w:val="center"/>
              <w:textAlignment w:val="baseline"/>
              <w:rPr>
                <w:rFonts w:ascii="Times New Roman" w:hAnsi="Times New Roman"/>
                <w:noProof/>
                <w:sz w:val="14"/>
                <w:szCs w:val="14"/>
              </w:rPr>
            </w:pPr>
          </w:p>
        </w:tc>
        <w:tc>
          <w:tcPr>
            <w:tcW w:w="2103" w:type="dxa"/>
          </w:tcPr>
          <w:p w:rsidR="00E7057A" w:rsidRPr="00454E73" w:rsidRDefault="00E7057A" w:rsidP="00E7057A">
            <w:pPr>
              <w:ind w:right="133"/>
              <w:jc w:val="center"/>
              <w:textAlignment w:val="baseline"/>
              <w:rPr>
                <w:rFonts w:ascii="Times New Roman" w:hAnsi="Times New Roman"/>
                <w:noProof/>
                <w:sz w:val="14"/>
                <w:szCs w:val="14"/>
              </w:rPr>
            </w:pPr>
          </w:p>
        </w:tc>
        <w:tc>
          <w:tcPr>
            <w:tcW w:w="2250"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567" w:type="dxa"/>
            <w:shd w:val="clear" w:color="auto" w:fill="auto"/>
          </w:tcPr>
          <w:p w:rsidR="00E7057A" w:rsidRPr="00454E73" w:rsidRDefault="00E7057A" w:rsidP="00E7057A">
            <w:pPr>
              <w:tabs>
                <w:tab w:val="left" w:pos="1424"/>
              </w:tabs>
              <w:ind w:right="-108"/>
              <w:jc w:val="center"/>
              <w:textAlignment w:val="baseline"/>
              <w:rPr>
                <w:rFonts w:ascii="Times New Roman" w:hAnsi="Times New Roman"/>
                <w:noProof/>
                <w:sz w:val="14"/>
                <w:szCs w:val="14"/>
              </w:rPr>
            </w:pPr>
          </w:p>
        </w:tc>
        <w:tc>
          <w:tcPr>
            <w:tcW w:w="425" w:type="dxa"/>
            <w:shd w:val="clear" w:color="auto" w:fill="auto"/>
          </w:tcPr>
          <w:p w:rsidR="00E7057A" w:rsidRPr="00454E73" w:rsidRDefault="00E7057A" w:rsidP="00E7057A">
            <w:pPr>
              <w:ind w:right="-108"/>
              <w:jc w:val="center"/>
              <w:textAlignment w:val="baseline"/>
              <w:rPr>
                <w:rFonts w:ascii="Times New Roman" w:hAnsi="Times New Roman"/>
                <w:noProof/>
                <w:sz w:val="14"/>
                <w:szCs w:val="14"/>
              </w:rPr>
            </w:pPr>
          </w:p>
        </w:tc>
        <w:tc>
          <w:tcPr>
            <w:tcW w:w="2410" w:type="dxa"/>
          </w:tcPr>
          <w:p w:rsidR="00E7057A" w:rsidRPr="00454E73" w:rsidRDefault="00E7057A" w:rsidP="00E7057A">
            <w:pPr>
              <w:ind w:right="-108"/>
              <w:jc w:val="center"/>
              <w:textAlignment w:val="baseline"/>
              <w:rPr>
                <w:rFonts w:ascii="Times New Roman" w:hAnsi="Times New Roman"/>
                <w:noProof/>
                <w:sz w:val="14"/>
                <w:szCs w:val="14"/>
              </w:rPr>
            </w:pPr>
          </w:p>
        </w:tc>
        <w:tc>
          <w:tcPr>
            <w:tcW w:w="1365" w:type="dxa"/>
          </w:tcPr>
          <w:p w:rsidR="00E7057A" w:rsidRPr="00454E73" w:rsidRDefault="00E7057A" w:rsidP="00E7057A">
            <w:pPr>
              <w:ind w:right="-108"/>
              <w:jc w:val="center"/>
              <w:textAlignment w:val="baseline"/>
              <w:rPr>
                <w:rFonts w:ascii="Times New Roman" w:hAnsi="Times New Roman"/>
                <w:noProof/>
                <w:sz w:val="14"/>
                <w:szCs w:val="14"/>
              </w:rPr>
            </w:pPr>
          </w:p>
        </w:tc>
      </w:tr>
      <w:tr w:rsidR="00E7057A" w:rsidRPr="00454E73" w:rsidTr="00E7057A">
        <w:trPr>
          <w:trHeight w:val="352"/>
        </w:trPr>
        <w:tc>
          <w:tcPr>
            <w:tcW w:w="403"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r w:rsidRPr="00454E73">
              <w:rPr>
                <w:rFonts w:ascii="Times New Roman" w:hAnsi="Times New Roman"/>
                <w:noProof/>
                <w:sz w:val="14"/>
                <w:szCs w:val="14"/>
              </w:rPr>
              <w:t>…</w:t>
            </w:r>
          </w:p>
        </w:tc>
        <w:tc>
          <w:tcPr>
            <w:tcW w:w="1017"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594"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438" w:type="dxa"/>
            <w:shd w:val="clear" w:color="auto" w:fill="auto"/>
          </w:tcPr>
          <w:p w:rsidR="00E7057A" w:rsidRPr="00454E73" w:rsidRDefault="00E7057A" w:rsidP="00E7057A">
            <w:pPr>
              <w:ind w:right="-108"/>
              <w:jc w:val="center"/>
              <w:textAlignment w:val="baseline"/>
              <w:rPr>
                <w:rFonts w:ascii="Times New Roman" w:hAnsi="Times New Roman"/>
                <w:noProof/>
                <w:sz w:val="14"/>
                <w:szCs w:val="14"/>
              </w:rPr>
            </w:pPr>
          </w:p>
        </w:tc>
        <w:tc>
          <w:tcPr>
            <w:tcW w:w="2103" w:type="dxa"/>
          </w:tcPr>
          <w:p w:rsidR="00E7057A" w:rsidRPr="00454E73" w:rsidRDefault="00E7057A" w:rsidP="00E7057A">
            <w:pPr>
              <w:ind w:right="133"/>
              <w:jc w:val="center"/>
              <w:textAlignment w:val="baseline"/>
              <w:rPr>
                <w:rFonts w:ascii="Times New Roman" w:hAnsi="Times New Roman"/>
                <w:noProof/>
                <w:sz w:val="14"/>
                <w:szCs w:val="14"/>
              </w:rPr>
            </w:pPr>
          </w:p>
        </w:tc>
        <w:tc>
          <w:tcPr>
            <w:tcW w:w="2250" w:type="dxa"/>
            <w:shd w:val="clear" w:color="auto" w:fill="auto"/>
          </w:tcPr>
          <w:p w:rsidR="00E7057A" w:rsidRPr="00454E73" w:rsidRDefault="00E7057A" w:rsidP="00E7057A">
            <w:pPr>
              <w:ind w:right="133"/>
              <w:jc w:val="center"/>
              <w:textAlignment w:val="baseline"/>
              <w:rPr>
                <w:rFonts w:ascii="Times New Roman" w:hAnsi="Times New Roman"/>
                <w:noProof/>
                <w:sz w:val="14"/>
                <w:szCs w:val="14"/>
              </w:rPr>
            </w:pPr>
          </w:p>
        </w:tc>
        <w:tc>
          <w:tcPr>
            <w:tcW w:w="567" w:type="dxa"/>
            <w:shd w:val="clear" w:color="auto" w:fill="auto"/>
          </w:tcPr>
          <w:p w:rsidR="00E7057A" w:rsidRPr="00454E73" w:rsidRDefault="00E7057A" w:rsidP="00E7057A">
            <w:pPr>
              <w:tabs>
                <w:tab w:val="left" w:pos="1424"/>
              </w:tabs>
              <w:ind w:right="-108"/>
              <w:jc w:val="center"/>
              <w:textAlignment w:val="baseline"/>
              <w:rPr>
                <w:rFonts w:ascii="Times New Roman" w:hAnsi="Times New Roman"/>
                <w:noProof/>
                <w:sz w:val="14"/>
                <w:szCs w:val="14"/>
              </w:rPr>
            </w:pPr>
          </w:p>
        </w:tc>
        <w:tc>
          <w:tcPr>
            <w:tcW w:w="425" w:type="dxa"/>
            <w:shd w:val="clear" w:color="auto" w:fill="auto"/>
          </w:tcPr>
          <w:p w:rsidR="00E7057A" w:rsidRPr="00454E73" w:rsidRDefault="00E7057A" w:rsidP="00E7057A">
            <w:pPr>
              <w:ind w:right="-108"/>
              <w:jc w:val="center"/>
              <w:textAlignment w:val="baseline"/>
              <w:rPr>
                <w:rFonts w:ascii="Times New Roman" w:hAnsi="Times New Roman"/>
                <w:noProof/>
                <w:sz w:val="14"/>
                <w:szCs w:val="14"/>
              </w:rPr>
            </w:pPr>
          </w:p>
        </w:tc>
        <w:tc>
          <w:tcPr>
            <w:tcW w:w="2410" w:type="dxa"/>
          </w:tcPr>
          <w:p w:rsidR="00E7057A" w:rsidRPr="00454E73" w:rsidRDefault="00E7057A" w:rsidP="00E7057A">
            <w:pPr>
              <w:ind w:right="-108"/>
              <w:jc w:val="center"/>
              <w:textAlignment w:val="baseline"/>
              <w:rPr>
                <w:rFonts w:ascii="Times New Roman" w:hAnsi="Times New Roman"/>
                <w:noProof/>
                <w:sz w:val="14"/>
                <w:szCs w:val="14"/>
              </w:rPr>
            </w:pPr>
          </w:p>
        </w:tc>
        <w:tc>
          <w:tcPr>
            <w:tcW w:w="1365" w:type="dxa"/>
          </w:tcPr>
          <w:p w:rsidR="00E7057A" w:rsidRPr="00454E73" w:rsidRDefault="00E7057A" w:rsidP="00E7057A">
            <w:pPr>
              <w:ind w:right="-108"/>
              <w:jc w:val="center"/>
              <w:textAlignment w:val="baseline"/>
              <w:rPr>
                <w:rFonts w:ascii="Times New Roman" w:hAnsi="Times New Roman"/>
                <w:noProof/>
                <w:sz w:val="14"/>
                <w:szCs w:val="14"/>
              </w:rPr>
            </w:pPr>
          </w:p>
        </w:tc>
      </w:tr>
    </w:tbl>
    <w:p w:rsidR="00E7057A" w:rsidRDefault="00E7057A" w:rsidP="00E7057A">
      <w:pPr>
        <w:ind w:right="262"/>
        <w:jc w:val="center"/>
        <w:rPr>
          <w:rFonts w:ascii="Times New Roman" w:hAnsi="Times New Roman"/>
          <w:b/>
          <w:sz w:val="20"/>
          <w:szCs w:val="20"/>
          <w:u w:val="single"/>
        </w:rPr>
      </w:pPr>
    </w:p>
    <w:p w:rsidR="00E7057A" w:rsidRPr="00E7057A" w:rsidRDefault="00E7057A" w:rsidP="00E7057A">
      <w:pPr>
        <w:pStyle w:val="a3"/>
        <w:tabs>
          <w:tab w:val="left" w:pos="10205"/>
        </w:tabs>
        <w:ind w:left="0" w:right="-55" w:firstLine="510"/>
        <w:jc w:val="both"/>
        <w:rPr>
          <w:rFonts w:ascii="Times New Roman" w:hAnsi="Times New Roman"/>
          <w:noProof/>
          <w:lang w:val="uk-UA"/>
        </w:rPr>
      </w:pPr>
      <w:r w:rsidRPr="00E7057A">
        <w:rPr>
          <w:rFonts w:ascii="Times New Roman" w:hAnsi="Times New Roman"/>
          <w:noProof/>
          <w:lang w:val="uk-UA"/>
        </w:rPr>
        <w:t xml:space="preserve">Датовано: «____» ________________ 202_ року ______________________ </w:t>
      </w:r>
      <w:r w:rsidRPr="00E7057A">
        <w:rPr>
          <w:rFonts w:ascii="Times New Roman" w:hAnsi="Times New Roman"/>
          <w:iCs/>
          <w:noProof/>
          <w:lang w:val="uk-UA"/>
        </w:rPr>
        <w:t>Посада, прізвище, ініціали, підпис уповноваженої особи учасника або П.І.Б. та підпис учасника-фізичної особи</w:t>
      </w:r>
    </w:p>
    <w:p w:rsidR="00E7057A" w:rsidRPr="00454E73" w:rsidRDefault="00E7057A" w:rsidP="00E7057A">
      <w:pPr>
        <w:widowControl w:val="0"/>
        <w:autoSpaceDE w:val="0"/>
        <w:autoSpaceDN w:val="0"/>
        <w:adjustRightInd w:val="0"/>
        <w:spacing w:after="0" w:line="240" w:lineRule="auto"/>
        <w:ind w:firstLine="510"/>
        <w:jc w:val="both"/>
        <w:rPr>
          <w:rFonts w:ascii="Times New Roman" w:eastAsia="Times New Roman" w:hAnsi="Times New Roman"/>
          <w:i/>
          <w:noProof/>
          <w:sz w:val="20"/>
          <w:szCs w:val="20"/>
          <w:lang w:eastAsia="ru-RU"/>
        </w:rPr>
      </w:pPr>
      <w:r w:rsidRPr="00454E73">
        <w:rPr>
          <w:rFonts w:ascii="Times New Roman" w:eastAsia="Times New Roman" w:hAnsi="Times New Roman"/>
          <w:i/>
          <w:noProof/>
          <w:sz w:val="20"/>
          <w:szCs w:val="20"/>
          <w:lang w:eastAsia="ru-RU"/>
        </w:rPr>
        <w:t>** надається учасником лише у випадку пропонування еквівалентного товару</w:t>
      </w:r>
    </w:p>
    <w:p w:rsidR="00E7057A" w:rsidRPr="004F381F" w:rsidRDefault="00E7057A" w:rsidP="00E7057A">
      <w:pPr>
        <w:tabs>
          <w:tab w:val="num" w:pos="360"/>
        </w:tabs>
        <w:spacing w:after="0" w:line="240" w:lineRule="auto"/>
        <w:jc w:val="both"/>
        <w:rPr>
          <w:rFonts w:ascii="Times New Roman" w:hAnsi="Times New Roman"/>
          <w:noProof/>
        </w:rPr>
      </w:pPr>
    </w:p>
    <w:p w:rsidR="00E7057A" w:rsidRPr="004F381F" w:rsidRDefault="00E7057A" w:rsidP="00E7057A">
      <w:pPr>
        <w:tabs>
          <w:tab w:val="num" w:pos="360"/>
        </w:tabs>
        <w:spacing w:after="0" w:line="240" w:lineRule="auto"/>
        <w:jc w:val="both"/>
        <w:rPr>
          <w:rFonts w:ascii="Times New Roman" w:hAnsi="Times New Roman"/>
          <w:noProof/>
        </w:rPr>
      </w:pPr>
      <w:r w:rsidRPr="004F381F">
        <w:rPr>
          <w:rFonts w:ascii="Times New Roman" w:hAnsi="Times New Roman"/>
          <w:noProof/>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w:t>
      </w:r>
      <w:r>
        <w:rPr>
          <w:rFonts w:ascii="Times New Roman" w:hAnsi="Times New Roman"/>
          <w:noProof/>
        </w:rPr>
        <w:t xml:space="preserve"> вимогу замовника протягом п'яти</w:t>
      </w:r>
      <w:r w:rsidRPr="004F381F">
        <w:rPr>
          <w:rFonts w:ascii="Times New Roman" w:hAnsi="Times New Roman"/>
          <w:noProof/>
        </w:rPr>
        <w:t xml:space="preserve">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rsidR="00E7057A" w:rsidRPr="004F381F" w:rsidRDefault="00E7057A" w:rsidP="00E7057A">
      <w:pPr>
        <w:tabs>
          <w:tab w:val="num" w:pos="360"/>
        </w:tabs>
        <w:spacing w:after="0" w:line="240" w:lineRule="auto"/>
        <w:jc w:val="both"/>
        <w:rPr>
          <w:rFonts w:ascii="Times New Roman" w:hAnsi="Times New Roman"/>
          <w:noProof/>
        </w:rPr>
      </w:pPr>
      <w:r w:rsidRPr="004F381F">
        <w:rPr>
          <w:rFonts w:ascii="Times New Roman" w:hAnsi="Times New Roman"/>
          <w:noProof/>
          <w:shd w:val="clear" w:color="auto" w:fill="FFFFFF"/>
        </w:rPr>
        <w:t xml:space="preserve">5. </w:t>
      </w:r>
      <w:r w:rsidRPr="004F381F">
        <w:rPr>
          <w:rFonts w:ascii="Times New Roman" w:hAnsi="Times New Roman"/>
          <w:noProof/>
        </w:rPr>
        <w:t xml:space="preserve">Залишковий термін придатності товарів на момент постачання </w:t>
      </w:r>
      <w:r w:rsidRPr="004F381F">
        <w:rPr>
          <w:rFonts w:ascii="Times New Roman" w:hAnsi="Times New Roman"/>
          <w:bCs/>
          <w:noProof/>
        </w:rPr>
        <w:t>повинен складати не менше 70%</w:t>
      </w:r>
      <w:r w:rsidRPr="004F381F">
        <w:rPr>
          <w:rFonts w:ascii="Times New Roman" w:hAnsi="Times New Roman"/>
          <w:noProof/>
        </w:rPr>
        <w:t xml:space="preserve"> загального терміну їх зберігання, встановленого в інструкції по використанню (надати гарантійний лист про залишковий термін придатності)</w:t>
      </w:r>
      <w:r w:rsidRPr="004F381F">
        <w:rPr>
          <w:rFonts w:ascii="Times New Roman" w:hAnsi="Times New Roman"/>
          <w:bCs/>
          <w:noProof/>
        </w:rPr>
        <w:t>.</w:t>
      </w:r>
      <w:r w:rsidRPr="00823CA0">
        <w:rPr>
          <w:rFonts w:ascii="Times New Roman" w:hAnsi="Times New Roman"/>
          <w:noProof/>
        </w:rP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w:t>
      </w:r>
      <w:r>
        <w:rPr>
          <w:rFonts w:ascii="Times New Roman" w:hAnsi="Times New Roman"/>
          <w:noProof/>
        </w:rPr>
        <w:t>,</w:t>
      </w:r>
      <w:r w:rsidRPr="00823CA0">
        <w:rPr>
          <w:rFonts w:ascii="Times New Roman" w:hAnsi="Times New Roman"/>
          <w:noProof/>
        </w:rPr>
        <w:t xml:space="preserve"> учасник надає лист виpoбника (або офіційного предста</w:t>
      </w:r>
      <w:r>
        <w:rPr>
          <w:rFonts w:ascii="Times New Roman" w:hAnsi="Times New Roman"/>
          <w:noProof/>
        </w:rPr>
        <w:t>вника виpoбника на території</w:t>
      </w:r>
      <w:r w:rsidRPr="00823CA0">
        <w:rPr>
          <w:rFonts w:ascii="Times New Roman" w:hAnsi="Times New Roman"/>
          <w:noProof/>
        </w:rPr>
        <w:t xml:space="preserve"> України), яким підтверджується можливість поставки запропонованого товару, який є предметом закупівлі цих торгів та пропонується учасником</w:t>
      </w:r>
      <w:r>
        <w:rPr>
          <w:rFonts w:ascii="Times New Roman" w:hAnsi="Times New Roman"/>
          <w:noProof/>
        </w:rPr>
        <w:t>,</w:t>
      </w:r>
      <w:r w:rsidRPr="00823CA0">
        <w:rPr>
          <w:rFonts w:ascii="Times New Roman" w:hAnsi="Times New Roman"/>
          <w:noProof/>
        </w:rPr>
        <w:t xml:space="preserve"> із зазначенням: пов</w:t>
      </w:r>
      <w:r>
        <w:rPr>
          <w:rFonts w:ascii="Times New Roman" w:hAnsi="Times New Roman"/>
          <w:noProof/>
        </w:rPr>
        <w:t>ної назви учасника та з</w:t>
      </w:r>
      <w:r w:rsidRPr="00823CA0">
        <w:rPr>
          <w:rFonts w:ascii="Times New Roman" w:hAnsi="Times New Roman"/>
          <w:noProof/>
        </w:rPr>
        <w:t>амовника, назви предмет</w:t>
      </w:r>
      <w:r>
        <w:rPr>
          <w:rFonts w:ascii="Times New Roman" w:hAnsi="Times New Roman"/>
          <w:noProof/>
        </w:rPr>
        <w:t>у закупівлі згідно оголошення, номер</w:t>
      </w:r>
      <w:r w:rsidRPr="00823CA0">
        <w:rPr>
          <w:rFonts w:ascii="Times New Roman" w:hAnsi="Times New Roman"/>
          <w:noProof/>
        </w:rPr>
        <w:t xml:space="preserve"> оголошення про проведення процедури закупівлі, назви товару, кількості.</w:t>
      </w:r>
    </w:p>
    <w:p w:rsidR="00E7057A" w:rsidRPr="00203DD6" w:rsidRDefault="00E7057A" w:rsidP="00E7057A">
      <w:pPr>
        <w:tabs>
          <w:tab w:val="num" w:pos="360"/>
        </w:tabs>
        <w:spacing w:after="0" w:line="240" w:lineRule="auto"/>
        <w:jc w:val="both"/>
        <w:rPr>
          <w:rFonts w:ascii="Times New Roman" w:hAnsi="Times New Roman"/>
          <w:noProof/>
        </w:rPr>
      </w:pPr>
      <w:r w:rsidRPr="004F381F">
        <w:rPr>
          <w:rFonts w:ascii="Times New Roman" w:hAnsi="Times New Roman"/>
          <w:noProof/>
        </w:rPr>
        <w:t xml:space="preserve">6. </w:t>
      </w:r>
      <w:r w:rsidRPr="00203DD6">
        <w:rPr>
          <w:rFonts w:ascii="Times New Roman" w:hAnsi="Times New Roman"/>
          <w:noProof/>
        </w:rPr>
        <w:t>Запропоновані товари повинні відповідати вимогам із захисту довкілля (учасник повинен надати гарантійний лист).</w:t>
      </w:r>
    </w:p>
    <w:p w:rsidR="00E7057A" w:rsidRPr="00203DD6" w:rsidRDefault="00E7057A" w:rsidP="00E7057A">
      <w:pPr>
        <w:shd w:val="clear" w:color="auto" w:fill="FFFFFF"/>
        <w:spacing w:after="0" w:line="240" w:lineRule="auto"/>
        <w:jc w:val="both"/>
        <w:rPr>
          <w:rFonts w:ascii="Times New Roman" w:eastAsia="Times New Roman" w:hAnsi="Times New Roman"/>
        </w:rPr>
      </w:pPr>
      <w:r>
        <w:rPr>
          <w:rFonts w:ascii="Times New Roman" w:eastAsia="Times New Roman" w:hAnsi="Times New Roman"/>
        </w:rPr>
        <w:t>7.</w:t>
      </w:r>
      <w:r w:rsidRPr="00203DD6">
        <w:rPr>
          <w:rFonts w:ascii="Times New Roman" w:eastAsia="Times New Roman" w:hAnsi="Times New Roman"/>
        </w:rPr>
        <w:t xml:space="preserve"> Якість товару повинна бути підтверджена  сертифікатами (паспортами) якості виробника (надати при постачанні товару).</w:t>
      </w:r>
    </w:p>
    <w:p w:rsidR="00E7057A" w:rsidRPr="00EB5F50" w:rsidRDefault="00E7057A" w:rsidP="00E7057A">
      <w:pPr>
        <w:ind w:right="262"/>
        <w:jc w:val="center"/>
        <w:rPr>
          <w:rFonts w:ascii="Times New Roman" w:hAnsi="Times New Roman"/>
          <w:b/>
          <w:sz w:val="20"/>
          <w:szCs w:val="20"/>
          <w:u w:val="single"/>
        </w:rPr>
      </w:pPr>
    </w:p>
    <w:p w:rsidR="00522083" w:rsidRPr="006D1C22" w:rsidRDefault="00522083" w:rsidP="00522083">
      <w:pPr>
        <w:jc w:val="center"/>
        <w:rPr>
          <w:rFonts w:cstheme="minorHAnsi"/>
          <w:b/>
          <w:bCs/>
        </w:rPr>
      </w:pPr>
    </w:p>
    <w:p w:rsidR="00563D48" w:rsidRPr="00595517" w:rsidRDefault="00563D48" w:rsidP="00563D48">
      <w:pPr>
        <w:spacing w:line="360" w:lineRule="auto"/>
        <w:ind w:left="720"/>
        <w:jc w:val="both"/>
        <w:rPr>
          <w:rFonts w:ascii="Times New Roman" w:hAnsi="Times New Roman"/>
          <w:b/>
          <w:bCs/>
          <w:sz w:val="24"/>
          <w:szCs w:val="24"/>
        </w:rPr>
      </w:pPr>
    </w:p>
    <w:p w:rsidR="00563D48" w:rsidRPr="00595517" w:rsidRDefault="00563D48" w:rsidP="00563D48">
      <w:pPr>
        <w:spacing w:line="360" w:lineRule="auto"/>
        <w:ind w:left="720"/>
        <w:jc w:val="both"/>
        <w:rPr>
          <w:rFonts w:ascii="Times New Roman" w:hAnsi="Times New Roman"/>
          <w:b/>
          <w:bCs/>
          <w:sz w:val="24"/>
          <w:szCs w:val="24"/>
        </w:rPr>
      </w:pPr>
    </w:p>
    <w:p w:rsidR="00F02033" w:rsidRPr="00F02033" w:rsidRDefault="00F02033" w:rsidP="00B6772A">
      <w:pPr>
        <w:rPr>
          <w:rFonts w:ascii="Times New Roman" w:hAnsi="Times New Roman"/>
          <w:bCs/>
          <w:sz w:val="24"/>
          <w:szCs w:val="24"/>
        </w:rPr>
      </w:pPr>
    </w:p>
    <w:p w:rsidR="00B6772A" w:rsidRDefault="00B6772A" w:rsidP="00563D48">
      <w:pPr>
        <w:spacing w:line="360" w:lineRule="auto"/>
        <w:ind w:left="720"/>
        <w:jc w:val="both"/>
        <w:rPr>
          <w:rFonts w:ascii="Times New Roman" w:hAnsi="Times New Roman"/>
          <w:b/>
          <w:bCs/>
          <w:sz w:val="24"/>
          <w:szCs w:val="24"/>
        </w:rPr>
      </w:pPr>
    </w:p>
    <w:p w:rsidR="00563D48" w:rsidRDefault="00563D48" w:rsidP="00563D48">
      <w:pPr>
        <w:spacing w:line="360" w:lineRule="auto"/>
        <w:ind w:left="720"/>
        <w:jc w:val="both"/>
        <w:rPr>
          <w:rFonts w:ascii="Times New Roman" w:hAnsi="Times New Roman"/>
          <w:b/>
          <w:bCs/>
          <w:sz w:val="24"/>
          <w:szCs w:val="24"/>
        </w:rPr>
      </w:pPr>
    </w:p>
    <w:p w:rsidR="006D3E6B" w:rsidRDefault="006D3E6B" w:rsidP="00563D48">
      <w:pPr>
        <w:spacing w:line="360" w:lineRule="auto"/>
        <w:ind w:left="720"/>
        <w:jc w:val="both"/>
        <w:rPr>
          <w:rFonts w:ascii="Times New Roman" w:hAnsi="Times New Roman"/>
          <w:b/>
          <w:bCs/>
          <w:sz w:val="24"/>
          <w:szCs w:val="24"/>
        </w:rPr>
      </w:pPr>
    </w:p>
    <w:p w:rsidR="006D3E6B" w:rsidRDefault="006D3E6B" w:rsidP="00563D48">
      <w:pPr>
        <w:spacing w:line="360" w:lineRule="auto"/>
        <w:ind w:left="720"/>
        <w:jc w:val="both"/>
        <w:rPr>
          <w:rFonts w:ascii="Times New Roman" w:hAnsi="Times New Roman"/>
          <w:b/>
          <w:bCs/>
          <w:sz w:val="24"/>
          <w:szCs w:val="24"/>
        </w:rPr>
      </w:pPr>
    </w:p>
    <w:p w:rsidR="006D3E6B" w:rsidRDefault="006D3E6B" w:rsidP="00563D48">
      <w:pPr>
        <w:spacing w:line="360" w:lineRule="auto"/>
        <w:ind w:left="720"/>
        <w:jc w:val="both"/>
        <w:rPr>
          <w:rFonts w:ascii="Times New Roman" w:hAnsi="Times New Roman"/>
          <w:b/>
          <w:bCs/>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E482F" w:rsidRDefault="00BA71F3" w:rsidP="00B27DE7">
      <w:pPr>
        <w:spacing w:after="0" w:line="276" w:lineRule="auto"/>
        <w:rPr>
          <w:rFonts w:ascii="Times New Roman" w:eastAsia="Times New Roman" w:hAnsi="Times New Roman"/>
          <w:b/>
          <w:sz w:val="24"/>
          <w:szCs w:val="24"/>
          <w:lang w:val="ru-RU"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 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Шустика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r w:rsidRPr="004F7B5C">
        <w:rPr>
          <w:rFonts w:ascii="Times New Roman" w:hAnsi="Times New Roman"/>
          <w:sz w:val="24"/>
          <w:szCs w:val="24"/>
        </w:rPr>
        <w:t xml:space="preserve">ДК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зобов’язань по договору поставки сторони несуть взаємну відповідальність, передбачену чиним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8" w:name="n278"/>
      <w:bookmarkStart w:id="9" w:name="n74"/>
      <w:bookmarkEnd w:id="8"/>
      <w:bookmarkEnd w:id="9"/>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10" w:name="n75"/>
      <w:bookmarkEnd w:id="10"/>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1" w:name="n76"/>
      <w:bookmarkEnd w:id="11"/>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7"/>
      <w:bookmarkEnd w:id="12"/>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54C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3" w:name="n78"/>
      <w:bookmarkEnd w:id="13"/>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4" w:name="n79"/>
      <w:bookmarkEnd w:id="14"/>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5" w:name="n80"/>
      <w:bookmarkEnd w:id="15"/>
      <w:r w:rsidRPr="00F754C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6" w:name="n81"/>
      <w:bookmarkEnd w:id="16"/>
      <w:r w:rsidRPr="00F754CB">
        <w:t>8) зміни умов у зв’язку із застосуванням положень </w:t>
      </w:r>
      <w:hyperlink r:id="rId16"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B27DE7">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обставини суспільного життя (бойові (воєнні) дії, блокади, громадські хвилювання, прояви тероризму, масові страйки та 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B27DE7">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1F6192">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1F6192">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.Антикорупційне застереження</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r w:rsidRPr="00B27DE7">
        <w:rPr>
          <w:rFonts w:ascii="Times New Roman" w:eastAsia="Cambria" w:hAnsi="Times New Roman"/>
          <w:color w:val="000000"/>
          <w:sz w:val="24"/>
          <w:szCs w:val="24"/>
          <w:lang w:val="ru-RU"/>
        </w:rPr>
        <w:t>1</w:t>
      </w:r>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м.Рівне,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e-mail: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_______________________ Р.П. Шустик</w:t>
            </w:r>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Pr="00B27DE7" w:rsidRDefault="00BA71F3"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До Договору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________________           від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Найменування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К-ть</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Ціна без ПДВ, грн.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Сума без ПДВ, грн.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грн.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з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Разом 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Покупець:</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t>Постачальник:</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r w:rsidRPr="008B07A4">
        <w:rPr>
          <w:rFonts w:ascii="Times New Roman" w:eastAsia="Times New Roman" w:hAnsi="Times New Roman"/>
          <w:sz w:val="24"/>
          <w:szCs w:val="24"/>
          <w:lang w:val="ru-RU" w:eastAsia="ru-RU"/>
        </w:rPr>
        <w:t>Замовник залишає за собою право уточнювати/змінювати окремі пункти проекту Договору під час його укладання відповідно до діючого законодавства України</w:t>
      </w:r>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подається у вигляді, наведеному нижче, на фірмовому бланку учасника (у разі наявності).</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r w:rsidRPr="008B07A4">
        <w:rPr>
          <w:rFonts w:ascii="Times New Roman" w:eastAsia="Times New Roman" w:hAnsi="Times New Roman"/>
          <w:b/>
          <w:bCs/>
          <w:i/>
          <w:iCs/>
          <w:sz w:val="16"/>
          <w:szCs w:val="16"/>
          <w:lang w:val="ru-RU" w:eastAsia="ru-RU"/>
        </w:rPr>
        <w:t>Учасник не повинен відступати від даної форми.</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КП «РОКЛДЦ ім.В.Поліщука»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r w:rsidRPr="008B07A4">
        <w:rPr>
          <w:rFonts w:ascii="Times New Roman" w:hAnsi="Times New Roman"/>
          <w:lang w:val="ru-RU"/>
        </w:rPr>
        <w:t xml:space="preserve">Вивчивши тендерну документацію,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 xml:space="preserve">повне найменування учасника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ЄДРПОУ/ідентифікаційний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r w:rsidRPr="008B07A4">
              <w:rPr>
                <w:rFonts w:ascii="Times New Roman" w:hAnsi="Times New Roman"/>
                <w:iCs/>
                <w:color w:val="000000"/>
                <w:lang w:val="ru-RU"/>
              </w:rPr>
              <w:t>Місцезнаходження Учасника</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r w:rsidRPr="008B07A4">
              <w:rPr>
                <w:rFonts w:ascii="Times New Roman" w:hAnsi="Times New Roman"/>
                <w:lang w:val="ru-RU"/>
              </w:rPr>
              <w:t>номенклатурна позиція</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прописом)</w:t>
      </w:r>
    </w:p>
    <w:p w:rsidR="00BA71F3" w:rsidRPr="008B07A4" w:rsidRDefault="00BA71F3" w:rsidP="00BA71F3">
      <w:pPr>
        <w:autoSpaceDN w:val="0"/>
        <w:ind w:right="-284"/>
        <w:jc w:val="both"/>
        <w:rPr>
          <w:rFonts w:ascii="Times New Roman" w:hAnsi="Times New Roman"/>
          <w:lang w:val="ru-RU"/>
        </w:rPr>
      </w:pPr>
      <w:r w:rsidRPr="008B07A4">
        <w:rPr>
          <w:rFonts w:ascii="Times New Roman" w:hAnsi="Times New Roman"/>
          <w:lang w:val="ru-RU"/>
        </w:rPr>
        <w:t>у тому числі ПДВ  _____________ грн., а саме:</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598" w:type="dxa"/>
        <w:tblLayout w:type="fixed"/>
        <w:tblLook w:val="0000"/>
      </w:tblPr>
      <w:tblGrid>
        <w:gridCol w:w="2127"/>
        <w:gridCol w:w="1457"/>
        <w:gridCol w:w="1344"/>
        <w:gridCol w:w="1135"/>
        <w:gridCol w:w="1349"/>
        <w:gridCol w:w="1276"/>
        <w:gridCol w:w="1910"/>
      </w:tblGrid>
      <w:tr w:rsidR="00BA71F3" w:rsidRPr="001B20A7" w:rsidTr="003E6848">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Кіль-</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Подання нами цієї пропозиції означає, що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(назва Учасника)</w:t>
      </w:r>
      <w:r w:rsidRPr="008B07A4">
        <w:rPr>
          <w:rFonts w:ascii="Times New Roman" w:eastAsia="Times New Roman" w:hAnsi="Times New Roman"/>
          <w:sz w:val="24"/>
          <w:szCs w:val="24"/>
          <w:lang w:val="ru-RU" w:eastAsia="ru-RU"/>
        </w:rPr>
        <w:t xml:space="preserve">, ознайомлені і усвідомлюємо в повній мірі вимоги Замовника, викладені в цій </w:t>
      </w:r>
      <w:r w:rsidRPr="008B07A4">
        <w:rPr>
          <w:rFonts w:ascii="Times New Roman" w:eastAsia="Times New Roman" w:hAnsi="Times New Roman"/>
          <w:sz w:val="24"/>
          <w:szCs w:val="24"/>
          <w:lang w:eastAsia="ru-RU"/>
        </w:rPr>
        <w:t xml:space="preserve">тендерній </w:t>
      </w:r>
      <w:r w:rsidRPr="008B07A4">
        <w:rPr>
          <w:rFonts w:ascii="Times New Roman" w:eastAsia="Times New Roman" w:hAnsi="Times New Roman"/>
          <w:sz w:val="24"/>
          <w:szCs w:val="24"/>
          <w:lang w:val="ru-RU" w:eastAsia="ru-RU"/>
        </w:rPr>
        <w:t>документації, в тому числі запропонован</w:t>
      </w:r>
      <w:r w:rsidRPr="008B07A4">
        <w:rPr>
          <w:rFonts w:ascii="Times New Roman" w:eastAsia="Times New Roman" w:hAnsi="Times New Roman"/>
          <w:sz w:val="24"/>
          <w:szCs w:val="24"/>
          <w:lang w:eastAsia="ru-RU"/>
        </w:rPr>
        <w:t>им</w:t>
      </w:r>
      <w:r w:rsidRPr="008B07A4">
        <w:rPr>
          <w:rFonts w:ascii="Times New Roman" w:eastAsia="Times New Roman" w:hAnsi="Times New Roman"/>
          <w:sz w:val="24"/>
          <w:szCs w:val="24"/>
          <w:lang w:val="ru-RU" w:eastAsia="ru-RU"/>
        </w:rPr>
        <w:t xml:space="preserve"> Замовником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погоджуємося з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У випадку, коли нами не дотримано вимог Замовника та/або запропонован</w:t>
      </w:r>
      <w:r w:rsidRPr="008B07A4">
        <w:rPr>
          <w:rFonts w:ascii="Times New Roman" w:eastAsia="Times New Roman" w:hAnsi="Times New Roman"/>
          <w:sz w:val="24"/>
          <w:szCs w:val="24"/>
          <w:lang w:eastAsia="ru-RU"/>
        </w:rPr>
        <w:t>ий</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зміст та умови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яких гірші за ті, які вимагаються Замовником в цій </w:t>
      </w:r>
      <w:r w:rsidRPr="008B07A4">
        <w:rPr>
          <w:rFonts w:ascii="Times New Roman" w:eastAsia="Times New Roman" w:hAnsi="Times New Roman"/>
          <w:sz w:val="24"/>
          <w:szCs w:val="24"/>
          <w:lang w:eastAsia="ru-RU"/>
        </w:rPr>
        <w:t xml:space="preserve">тендерній </w:t>
      </w:r>
      <w:r w:rsidRPr="008B07A4">
        <w:rPr>
          <w:rFonts w:ascii="Times New Roman" w:eastAsia="Times New Roman" w:hAnsi="Times New Roman"/>
          <w:sz w:val="24"/>
          <w:szCs w:val="24"/>
          <w:lang w:val="ru-RU" w:eastAsia="ru-RU"/>
        </w:rPr>
        <w:t>документації, надаємо свою згоду на відхилення нашої пропозиції та в подальшому не будемо мати претензій з даного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До прийняття (акцепту) нашої пропозиції, Ваша документація разом з нашою пропозицією (при її відповідності всім вимогам) мають силу протоколу намірів між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згодні дотримуватися умов цієї пропозиції протягом 90 днів з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пропозиція буде обов’язковою для нас і може бути прийнята (акцептована) Вами у будь-який час до закінчення зазначеного терміну.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Якщо нашу пропозицію буде акцептовано, ми беремо на себе зобов’язання укласти з Вами договір, на умовах  запропонованих в документації електронних торгів, не пізніше ніж через </w:t>
      </w:r>
      <w:r w:rsidRPr="008B07A4">
        <w:rPr>
          <w:rFonts w:ascii="Times New Roman" w:eastAsia="Times New Roman" w:hAnsi="Times New Roman"/>
          <w:sz w:val="24"/>
          <w:szCs w:val="24"/>
          <w:lang w:eastAsia="ru-RU"/>
        </w:rPr>
        <w:t xml:space="preserve">15 </w:t>
      </w:r>
      <w:r w:rsidRPr="008B07A4">
        <w:rPr>
          <w:rFonts w:ascii="Times New Roman" w:eastAsia="Times New Roman" w:hAnsi="Times New Roman"/>
          <w:sz w:val="24"/>
          <w:szCs w:val="24"/>
          <w:lang w:val="ru-RU" w:eastAsia="ru-RU"/>
        </w:rPr>
        <w:t xml:space="preserve">днів з дня прийняття рішення про намір укласти договір про закупівлю але не  раніше ніж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днів з дати оприлюднення на веб-порталі Уповноваженого органу повідомлення про намір укласти договір про закупівлю.</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r w:rsidRPr="008B07A4">
        <w:rPr>
          <w:rFonts w:ascii="Times New Roman" w:eastAsia="Times New Roman" w:hAnsi="Times New Roman"/>
          <w:b/>
          <w:bCs/>
          <w:sz w:val="20"/>
          <w:szCs w:val="20"/>
          <w:lang w:val="ru-RU" w:eastAsia="ru-RU"/>
        </w:rPr>
        <w:t>Примітки:</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r w:rsidRPr="008B07A4">
        <w:rPr>
          <w:rFonts w:ascii="Times New Roman" w:eastAsia="Times New Roman" w:hAnsi="Times New Roman"/>
          <w:i/>
          <w:iCs/>
          <w:sz w:val="19"/>
          <w:szCs w:val="19"/>
          <w:lang w:val="ru-RU" w:eastAsia="ru-RU"/>
        </w:rPr>
        <w:t>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ціни необхідно зазначати в українських гривнях з двома знаками після коми (копійки).</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r w:rsidRPr="001B20A7">
        <w:rPr>
          <w:rFonts w:ascii="Times New Roman" w:hAnsi="Times New Roman"/>
          <w:color w:val="000000"/>
          <w:sz w:val="24"/>
          <w:szCs w:val="24"/>
          <w:lang w:val="ru-RU"/>
        </w:rPr>
        <w:t>відоцтво про реєстрацію платника податку на додану вартість (витягом  з реєстру платників податку на додану вартість) або свідоцтвом про право сплати єдиного податку (витягом з реєстру платників єдиного податку);</w:t>
      </w:r>
    </w:p>
    <w:p w:rsidR="00BA71F3" w:rsidRPr="001B20A7" w:rsidRDefault="00BA71F3" w:rsidP="00BA71F3">
      <w:pPr>
        <w:numPr>
          <w:ilvl w:val="0"/>
          <w:numId w:val="14"/>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r w:rsidRPr="001B20A7">
        <w:rPr>
          <w:rFonts w:ascii="Times New Roman" w:hAnsi="Times New Roman"/>
          <w:color w:val="000000"/>
          <w:sz w:val="24"/>
          <w:szCs w:val="24"/>
          <w:lang w:val="ru-RU"/>
        </w:rPr>
        <w:t xml:space="preserve">татут учасника (або положенням, або засновницьким договором, або установчим договором, або іншим установчим документом) або довідкою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Відповідна вимога стосується учасників – юридичних осіб;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Для Учасника – фізичної особи, у тому числі фізичної особи–підприємця:</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копія довідки про надання ідентифікаційного коду (у разі відсутності з релігійних переконань -  копія сторінки паспорту з відповідною відміткою);</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«Тендерну пропозиці</w:t>
      </w:r>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складена і заповнена за формою згідно із Додатком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всіх податків і зборів.</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r w:rsidRPr="001B20A7">
        <w:rPr>
          <w:rFonts w:ascii="Times New Roman" w:hAnsi="Times New Roman"/>
          <w:color w:val="000000"/>
          <w:sz w:val="24"/>
          <w:szCs w:val="24"/>
          <w:lang w:val="ru-RU"/>
        </w:rPr>
        <w:t>ист-згод</w:t>
      </w:r>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обробку, використання, поширення та доступ до персональних даних щодо особи (осіб), яка (які) підписують тендерну пропозицію,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довільній формі; </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r w:rsidRPr="001B20A7">
        <w:rPr>
          <w:rFonts w:ascii="Times New Roman" w:hAnsi="Times New Roman"/>
          <w:color w:val="000000"/>
          <w:sz w:val="24"/>
          <w:szCs w:val="24"/>
          <w:lang w:val="ru-RU"/>
        </w:rPr>
        <w:t xml:space="preserve">довільної форми щодо дотримання санкційного законодавства; </w:t>
      </w:r>
    </w:p>
    <w:p w:rsidR="00BA71F3" w:rsidRPr="001B20A7" w:rsidRDefault="00BA71F3" w:rsidP="00BA71F3">
      <w:pPr>
        <w:numPr>
          <w:ilvl w:val="0"/>
          <w:numId w:val="14"/>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BA71F3">
      <w:pPr>
        <w:numPr>
          <w:ilvl w:val="0"/>
          <w:numId w:val="14"/>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Усі документи, крім документів виданих іншими організаціями, установами тощо, що надаються учасником, мають </w:t>
      </w:r>
      <w:r w:rsidRPr="000040C2">
        <w:rPr>
          <w:rFonts w:ascii="Times New Roman" w:hAnsi="Times New Roman"/>
          <w:i/>
          <w:sz w:val="18"/>
          <w:szCs w:val="18"/>
          <w:lang w:val="ru-RU"/>
        </w:rPr>
        <w:t xml:space="preserve">бути завірені належним чином: засвідчені </w:t>
      </w:r>
      <w:r w:rsidRPr="000040C2">
        <w:rPr>
          <w:rFonts w:ascii="Times New Roman" w:hAnsi="Times New Roman"/>
          <w:bCs/>
          <w:i/>
          <w:sz w:val="18"/>
          <w:szCs w:val="18"/>
          <w:lang w:val="ru-RU"/>
        </w:rPr>
        <w:t>власноручним</w:t>
      </w:r>
      <w:r w:rsidRPr="000040C2">
        <w:rPr>
          <w:rFonts w:ascii="Times New Roman" w:hAnsi="Times New Roman"/>
          <w:i/>
          <w:sz w:val="18"/>
          <w:szCs w:val="18"/>
          <w:lang w:val="ru-RU"/>
        </w:rPr>
        <w:t xml:space="preserve"> підписом уповноваженої особи учасника, скріплені печаткою (за наявності) учасника, із зазначенням посади.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78C34F3"/>
    <w:multiLevelType w:val="hybridMultilevel"/>
    <w:tmpl w:val="1D06E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D3153"/>
    <w:multiLevelType w:val="hybridMultilevel"/>
    <w:tmpl w:val="F3DE2AC2"/>
    <w:lvl w:ilvl="0" w:tplc="5B868488">
      <w:start w:val="1"/>
      <w:numFmt w:val="decimal"/>
      <w:suff w:val="space"/>
      <w:lvlText w:val="%1."/>
      <w:lvlJc w:val="left"/>
      <w:pPr>
        <w:ind w:left="0" w:firstLine="0"/>
      </w:pPr>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476662"/>
    <w:multiLevelType w:val="hybridMultilevel"/>
    <w:tmpl w:val="95CE97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42C0EAD"/>
    <w:multiLevelType w:val="multilevel"/>
    <w:tmpl w:val="45DC7B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7D27A6A"/>
    <w:multiLevelType w:val="singleLevel"/>
    <w:tmpl w:val="0419000F"/>
    <w:lvl w:ilvl="0">
      <w:start w:val="1"/>
      <w:numFmt w:val="decimal"/>
      <w:lvlText w:val="%1."/>
      <w:lvlJc w:val="left"/>
      <w:pPr>
        <w:ind w:left="720" w:hanging="360"/>
      </w:pPr>
    </w:lvl>
  </w:abstractNum>
  <w:abstractNum w:abstractNumId="9">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5">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2AA0F8B"/>
    <w:multiLevelType w:val="hybridMultilevel"/>
    <w:tmpl w:val="5574BB64"/>
    <w:lvl w:ilvl="0" w:tplc="44B8DC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A62733"/>
    <w:multiLevelType w:val="hybridMultilevel"/>
    <w:tmpl w:val="2354AA46"/>
    <w:lvl w:ilvl="0" w:tplc="D416D662">
      <w:start w:val="7"/>
      <w:numFmt w:val="decimal"/>
      <w:lvlText w:val="%1."/>
      <w:lvlJc w:val="left"/>
      <w:pPr>
        <w:ind w:left="360" w:hanging="360"/>
      </w:pPr>
      <w:rPr>
        <w:rFonts w:hint="default"/>
        <w:color w:val="00000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20">
    <w:nsid w:val="36BE5A30"/>
    <w:multiLevelType w:val="hybridMultilevel"/>
    <w:tmpl w:val="519A0A88"/>
    <w:lvl w:ilvl="0" w:tplc="EE90C0E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3500BAC"/>
    <w:multiLevelType w:val="multilevel"/>
    <w:tmpl w:val="E8B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8853BB"/>
    <w:multiLevelType w:val="hybridMultilevel"/>
    <w:tmpl w:val="90B28B9C"/>
    <w:lvl w:ilvl="0" w:tplc="A042A4F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4D9E721A"/>
    <w:multiLevelType w:val="hybridMultilevel"/>
    <w:tmpl w:val="EC588C14"/>
    <w:lvl w:ilvl="0" w:tplc="32D2F0D2">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7161ED9"/>
    <w:multiLevelType w:val="hybridMultilevel"/>
    <w:tmpl w:val="523EA3D6"/>
    <w:lvl w:ilvl="0" w:tplc="0422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65635E85"/>
    <w:multiLevelType w:val="hybridMultilevel"/>
    <w:tmpl w:val="A72C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0F421D"/>
    <w:multiLevelType w:val="hybridMultilevel"/>
    <w:tmpl w:val="B99E5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D42631"/>
    <w:multiLevelType w:val="hybridMultilevel"/>
    <w:tmpl w:val="B92C5C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9F019D"/>
    <w:multiLevelType w:val="multilevel"/>
    <w:tmpl w:val="1A4AF758"/>
    <w:lvl w:ilvl="0">
      <w:start w:val="1"/>
      <w:numFmt w:val="decimal"/>
      <w:lvlText w:val="%1."/>
      <w:lvlJc w:val="left"/>
      <w:pPr>
        <w:ind w:left="502" w:hanging="360"/>
      </w:pPr>
      <w:rPr>
        <w:rFonts w:hint="default"/>
      </w:rPr>
    </w:lvl>
    <w:lvl w:ilvl="1">
      <w:start w:val="1"/>
      <w:numFmt w:val="decimal"/>
      <w:isLgl/>
      <w:lvlText w:val="%1.%2."/>
      <w:lvlJc w:val="left"/>
      <w:pPr>
        <w:ind w:left="1077" w:hanging="720"/>
      </w:pPr>
      <w:rPr>
        <w:rFonts w:eastAsia="Calibri" w:hint="default"/>
      </w:rPr>
    </w:lvl>
    <w:lvl w:ilvl="2">
      <w:start w:val="1"/>
      <w:numFmt w:val="decimal"/>
      <w:isLgl/>
      <w:lvlText w:val="%1.%2.%3."/>
      <w:lvlJc w:val="left"/>
      <w:pPr>
        <w:ind w:left="1292" w:hanging="720"/>
      </w:pPr>
      <w:rPr>
        <w:rFonts w:eastAsia="Calibri" w:hint="default"/>
      </w:rPr>
    </w:lvl>
    <w:lvl w:ilvl="3">
      <w:start w:val="1"/>
      <w:numFmt w:val="decimal"/>
      <w:isLgl/>
      <w:lvlText w:val="%1.%2.%3.%4."/>
      <w:lvlJc w:val="left"/>
      <w:pPr>
        <w:ind w:left="1867" w:hanging="1080"/>
      </w:pPr>
      <w:rPr>
        <w:rFonts w:eastAsia="Calibri" w:hint="default"/>
      </w:rPr>
    </w:lvl>
    <w:lvl w:ilvl="4">
      <w:start w:val="1"/>
      <w:numFmt w:val="decimal"/>
      <w:isLgl/>
      <w:lvlText w:val="%1.%2.%3.%4.%5."/>
      <w:lvlJc w:val="left"/>
      <w:pPr>
        <w:ind w:left="2082" w:hanging="1080"/>
      </w:pPr>
      <w:rPr>
        <w:rFonts w:eastAsia="Calibri" w:hint="default"/>
      </w:rPr>
    </w:lvl>
    <w:lvl w:ilvl="5">
      <w:start w:val="1"/>
      <w:numFmt w:val="decimal"/>
      <w:isLgl/>
      <w:lvlText w:val="%1.%2.%3.%4.%5.%6."/>
      <w:lvlJc w:val="left"/>
      <w:pPr>
        <w:ind w:left="2657" w:hanging="1440"/>
      </w:pPr>
      <w:rPr>
        <w:rFonts w:eastAsia="Calibri" w:hint="default"/>
      </w:rPr>
    </w:lvl>
    <w:lvl w:ilvl="6">
      <w:start w:val="1"/>
      <w:numFmt w:val="decimal"/>
      <w:isLgl/>
      <w:lvlText w:val="%1.%2.%3.%4.%5.%6.%7."/>
      <w:lvlJc w:val="left"/>
      <w:pPr>
        <w:ind w:left="3232" w:hanging="1800"/>
      </w:pPr>
      <w:rPr>
        <w:rFonts w:eastAsia="Calibri" w:hint="default"/>
      </w:rPr>
    </w:lvl>
    <w:lvl w:ilvl="7">
      <w:start w:val="1"/>
      <w:numFmt w:val="decimal"/>
      <w:isLgl/>
      <w:lvlText w:val="%1.%2.%3.%4.%5.%6.%7.%8."/>
      <w:lvlJc w:val="left"/>
      <w:pPr>
        <w:ind w:left="3447" w:hanging="1800"/>
      </w:pPr>
      <w:rPr>
        <w:rFonts w:eastAsia="Calibri" w:hint="default"/>
      </w:rPr>
    </w:lvl>
    <w:lvl w:ilvl="8">
      <w:start w:val="1"/>
      <w:numFmt w:val="decimal"/>
      <w:isLgl/>
      <w:lvlText w:val="%1.%2.%3.%4.%5.%6.%7.%8.%9."/>
      <w:lvlJc w:val="left"/>
      <w:pPr>
        <w:ind w:left="4022" w:hanging="2160"/>
      </w:pPr>
      <w:rPr>
        <w:rFonts w:eastAsia="Calibri" w:hint="default"/>
      </w:rPr>
    </w:lvl>
  </w:abstractNum>
  <w:abstractNum w:abstractNumId="39">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97B2D91"/>
    <w:multiLevelType w:val="hybridMultilevel"/>
    <w:tmpl w:val="702A840C"/>
    <w:lvl w:ilvl="0" w:tplc="6FDA8B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1"/>
  </w:num>
  <w:num w:numId="2">
    <w:abstractNumId w:val="41"/>
  </w:num>
  <w:num w:numId="3">
    <w:abstractNumId w:val="32"/>
  </w:num>
  <w:num w:numId="4">
    <w:abstractNumId w:val="33"/>
  </w:num>
  <w:num w:numId="5">
    <w:abstractNumId w:val="42"/>
  </w:num>
  <w:num w:numId="6">
    <w:abstractNumId w:val="6"/>
  </w:num>
  <w:num w:numId="7">
    <w:abstractNumId w:val="28"/>
  </w:num>
  <w:num w:numId="8">
    <w:abstractNumId w:val="12"/>
  </w:num>
  <w:num w:numId="9">
    <w:abstractNumId w:val="36"/>
  </w:num>
  <w:num w:numId="10">
    <w:abstractNumId w:val="13"/>
  </w:num>
  <w:num w:numId="11">
    <w:abstractNumId w:val="31"/>
  </w:num>
  <w:num w:numId="12">
    <w:abstractNumId w:val="22"/>
  </w:num>
  <w:num w:numId="13">
    <w:abstractNumId w:val="14"/>
  </w:num>
  <w:num w:numId="14">
    <w:abstractNumId w:val="5"/>
  </w:num>
  <w:num w:numId="15">
    <w:abstractNumId w:val="7"/>
    <w:lvlOverride w:ilvl="0">
      <w:startOverride w:val="1"/>
    </w:lvlOverride>
  </w:num>
  <w:num w:numId="16">
    <w:abstractNumId w:val="20"/>
  </w:num>
  <w:num w:numId="17">
    <w:abstractNumId w:val="16"/>
  </w:num>
  <w:num w:numId="18">
    <w:abstractNumId w:val="24"/>
  </w:num>
  <w:num w:numId="19">
    <w:abstractNumId w:val="27"/>
  </w:num>
  <w:num w:numId="20">
    <w:abstractNumId w:val="4"/>
  </w:num>
  <w:num w:numId="21">
    <w:abstractNumId w:val="30"/>
  </w:num>
  <w:num w:numId="22">
    <w:abstractNumId w:val="37"/>
  </w:num>
  <w:num w:numId="23">
    <w:abstractNumId w:val="26"/>
  </w:num>
  <w:num w:numId="24">
    <w:abstractNumId w:val="18"/>
  </w:num>
  <w:num w:numId="25">
    <w:abstractNumId w:val="19"/>
  </w:num>
  <w:num w:numId="26">
    <w:abstractNumId w:val="2"/>
  </w:num>
  <w:num w:numId="27">
    <w:abstractNumId w:val="2"/>
    <w:lvlOverride w:ilvl="0">
      <w:lvl w:ilvl="0" w:tplc="5B868488">
        <w:start w:val="1"/>
        <w:numFmt w:val="decimal"/>
        <w:suff w:val="space"/>
        <w:lvlText w:val="%1."/>
        <w:lvlJc w:val="left"/>
        <w:pPr>
          <w:ind w:left="0" w:firstLine="0"/>
        </w:pPr>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28">
    <w:abstractNumId w:val="38"/>
  </w:num>
  <w:num w:numId="29">
    <w:abstractNumId w:val="40"/>
  </w:num>
  <w:num w:numId="30">
    <w:abstractNumId w:val="1"/>
  </w:num>
  <w:num w:numId="31">
    <w:abstractNumId w:val="25"/>
  </w:num>
  <w:num w:numId="32">
    <w:abstractNumId w:val="21"/>
  </w:num>
  <w:num w:numId="33">
    <w:abstractNumId w:val="29"/>
  </w:num>
  <w:num w:numId="34">
    <w:abstractNumId w:val="15"/>
  </w:num>
  <w:num w:numId="35">
    <w:abstractNumId w:val="10"/>
  </w:num>
  <w:num w:numId="36">
    <w:abstractNumId w:val="9"/>
  </w:num>
  <w:num w:numId="37">
    <w:abstractNumId w:val="39"/>
  </w:num>
  <w:num w:numId="38">
    <w:abstractNumId w:val="23"/>
  </w:num>
  <w:num w:numId="39">
    <w:abstractNumId w:val="17"/>
  </w:num>
  <w:num w:numId="40">
    <w:abstractNumId w:val="3"/>
  </w:num>
  <w:num w:numId="41">
    <w:abstractNumId w:val="8"/>
  </w:num>
  <w:num w:numId="42">
    <w:abstractNumId w:val="0"/>
    <w:lvlOverride w:ilvl="0">
      <w:startOverride w:val="1"/>
    </w:lvlOverride>
  </w:num>
  <w:num w:numId="43">
    <w:abstractNumId w:val="35"/>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601D8"/>
    <w:rsid w:val="00060CA4"/>
    <w:rsid w:val="00062389"/>
    <w:rsid w:val="000634B2"/>
    <w:rsid w:val="00066D50"/>
    <w:rsid w:val="00067E5A"/>
    <w:rsid w:val="00074460"/>
    <w:rsid w:val="000827F9"/>
    <w:rsid w:val="0008352B"/>
    <w:rsid w:val="000839B3"/>
    <w:rsid w:val="000873BD"/>
    <w:rsid w:val="0012459F"/>
    <w:rsid w:val="00143C6C"/>
    <w:rsid w:val="001557A9"/>
    <w:rsid w:val="001F6192"/>
    <w:rsid w:val="001F61C2"/>
    <w:rsid w:val="00214713"/>
    <w:rsid w:val="00233426"/>
    <w:rsid w:val="002366D4"/>
    <w:rsid w:val="002C606E"/>
    <w:rsid w:val="002D223C"/>
    <w:rsid w:val="002D23FE"/>
    <w:rsid w:val="002E03A3"/>
    <w:rsid w:val="002F614D"/>
    <w:rsid w:val="002F77CF"/>
    <w:rsid w:val="003149A6"/>
    <w:rsid w:val="00322094"/>
    <w:rsid w:val="00332955"/>
    <w:rsid w:val="003876C6"/>
    <w:rsid w:val="003A3058"/>
    <w:rsid w:val="003C67EF"/>
    <w:rsid w:val="003D733F"/>
    <w:rsid w:val="003E204F"/>
    <w:rsid w:val="003E6848"/>
    <w:rsid w:val="00424BEA"/>
    <w:rsid w:val="00427A3D"/>
    <w:rsid w:val="00434B7B"/>
    <w:rsid w:val="004476F0"/>
    <w:rsid w:val="004541AC"/>
    <w:rsid w:val="00477448"/>
    <w:rsid w:val="00496737"/>
    <w:rsid w:val="004B1E2F"/>
    <w:rsid w:val="004C389E"/>
    <w:rsid w:val="004F4579"/>
    <w:rsid w:val="00510A33"/>
    <w:rsid w:val="00522083"/>
    <w:rsid w:val="00535DFA"/>
    <w:rsid w:val="00563D48"/>
    <w:rsid w:val="005641A7"/>
    <w:rsid w:val="00595517"/>
    <w:rsid w:val="005B0E49"/>
    <w:rsid w:val="005E4E74"/>
    <w:rsid w:val="005F0C2D"/>
    <w:rsid w:val="005F108F"/>
    <w:rsid w:val="00616C38"/>
    <w:rsid w:val="00622717"/>
    <w:rsid w:val="00623F6C"/>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4AD2"/>
    <w:rsid w:val="00884C9B"/>
    <w:rsid w:val="008B62A0"/>
    <w:rsid w:val="008C19C4"/>
    <w:rsid w:val="008C277E"/>
    <w:rsid w:val="008E42F7"/>
    <w:rsid w:val="008E745B"/>
    <w:rsid w:val="00907095"/>
    <w:rsid w:val="00926D35"/>
    <w:rsid w:val="009544C6"/>
    <w:rsid w:val="009B160D"/>
    <w:rsid w:val="009D5839"/>
    <w:rsid w:val="009F16B5"/>
    <w:rsid w:val="00A23247"/>
    <w:rsid w:val="00A55D79"/>
    <w:rsid w:val="00A87E69"/>
    <w:rsid w:val="00AB7BD5"/>
    <w:rsid w:val="00AE49D6"/>
    <w:rsid w:val="00B03F9E"/>
    <w:rsid w:val="00B04131"/>
    <w:rsid w:val="00B16CB5"/>
    <w:rsid w:val="00B27DE7"/>
    <w:rsid w:val="00B37C69"/>
    <w:rsid w:val="00B4649F"/>
    <w:rsid w:val="00B6772A"/>
    <w:rsid w:val="00B75016"/>
    <w:rsid w:val="00BA1F7E"/>
    <w:rsid w:val="00BA57D6"/>
    <w:rsid w:val="00BA71F3"/>
    <w:rsid w:val="00BB7B69"/>
    <w:rsid w:val="00BC1390"/>
    <w:rsid w:val="00BD1484"/>
    <w:rsid w:val="00C05606"/>
    <w:rsid w:val="00C10B38"/>
    <w:rsid w:val="00C16080"/>
    <w:rsid w:val="00C53BA3"/>
    <w:rsid w:val="00C54856"/>
    <w:rsid w:val="00C66AB1"/>
    <w:rsid w:val="00C70EA4"/>
    <w:rsid w:val="00C72808"/>
    <w:rsid w:val="00CB147A"/>
    <w:rsid w:val="00CB79DF"/>
    <w:rsid w:val="00CC1438"/>
    <w:rsid w:val="00CD6E89"/>
    <w:rsid w:val="00CE5D41"/>
    <w:rsid w:val="00CF3613"/>
    <w:rsid w:val="00D0076F"/>
    <w:rsid w:val="00D10D2F"/>
    <w:rsid w:val="00D147E5"/>
    <w:rsid w:val="00D4216B"/>
    <w:rsid w:val="00D47640"/>
    <w:rsid w:val="00D54F97"/>
    <w:rsid w:val="00D7554F"/>
    <w:rsid w:val="00D75BF7"/>
    <w:rsid w:val="00DA29C8"/>
    <w:rsid w:val="00DA62D1"/>
    <w:rsid w:val="00DC2446"/>
    <w:rsid w:val="00DC5D40"/>
    <w:rsid w:val="00DC73A1"/>
    <w:rsid w:val="00DC7547"/>
    <w:rsid w:val="00DE482F"/>
    <w:rsid w:val="00E07C9D"/>
    <w:rsid w:val="00E21B24"/>
    <w:rsid w:val="00E34B6B"/>
    <w:rsid w:val="00E53597"/>
    <w:rsid w:val="00E66449"/>
    <w:rsid w:val="00E704B5"/>
    <w:rsid w:val="00E7057A"/>
    <w:rsid w:val="00E77309"/>
    <w:rsid w:val="00E8492C"/>
    <w:rsid w:val="00E87923"/>
    <w:rsid w:val="00EA339F"/>
    <w:rsid w:val="00EB2CE8"/>
    <w:rsid w:val="00EC48B5"/>
    <w:rsid w:val="00ED7324"/>
    <w:rsid w:val="00EE2A5B"/>
    <w:rsid w:val="00EE4BAB"/>
    <w:rsid w:val="00EE53D8"/>
    <w:rsid w:val="00EF6492"/>
    <w:rsid w:val="00F00CE8"/>
    <w:rsid w:val="00F02033"/>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3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law/1897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18901</Words>
  <Characters>107739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126388</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2023-10-13T11:44:00Z</cp:lastPrinted>
  <dcterms:created xsi:type="dcterms:W3CDTF">2024-01-08T13:38:00Z</dcterms:created>
  <dcterms:modified xsi:type="dcterms:W3CDTF">2024-01-11T06:19:00Z</dcterms:modified>
</cp:coreProperties>
</file>