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 2 до тендерної документації</w:t>
      </w:r>
    </w:p>
    <w:p>
      <w:pPr>
        <w:pStyle w:val="Normal"/>
        <w:spacing w:before="0" w:after="0"/>
        <w:jc w:val="both"/>
        <w:rPr>
          <w:rFonts w:ascii="Times New Roman" w:hAnsi="Times New Roman"/>
          <w:lang w:val="uk-UA"/>
        </w:rPr>
      </w:pPr>
      <w:r>
        <w:rPr/>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Вимоги до учасників та переможця щодо </w:t>
      </w:r>
      <w:r>
        <w:rPr>
          <w:rFonts w:ascii="Times New Roman" w:hAnsi="Times New Roman"/>
          <w:b/>
          <w:bCs/>
          <w:sz w:val="24"/>
          <w:szCs w:val="24"/>
          <w:lang w:val="uk-UA"/>
        </w:rPr>
        <w:t>п</w:t>
      </w:r>
      <w:r>
        <w:rPr>
          <w:rFonts w:ascii="Times New Roman" w:hAnsi="Times New Roman"/>
          <w:b/>
          <w:bCs/>
          <w:sz w:val="24"/>
          <w:szCs w:val="24"/>
          <w:lang w:val="en-US"/>
        </w:rPr>
        <w:t>і</w:t>
      </w:r>
      <w:r>
        <w:rPr>
          <w:rFonts w:ascii="Times New Roman" w:hAnsi="Times New Roman"/>
          <w:b/>
          <w:bCs/>
          <w:sz w:val="24"/>
          <w:szCs w:val="24"/>
          <w:lang w:val="uk-UA"/>
        </w:rPr>
        <w:t>дтвердження</w:t>
      </w:r>
      <w:r>
        <w:rPr>
          <w:rFonts w:ascii="Times New Roman" w:hAnsi="Times New Roman"/>
          <w:b/>
          <w:bCs/>
          <w:sz w:val="24"/>
          <w:szCs w:val="24"/>
          <w:lang w:val="uk-UA"/>
        </w:rPr>
        <w:t xml:space="preserve"> відсутності підстав для відмови в участі у відкритих торгах</w:t>
      </w:r>
    </w:p>
    <w:tbl>
      <w:tblPr>
        <w:tblW w:w="10774" w:type="dxa"/>
        <w:jc w:val="left"/>
        <w:tblInd w:w="-1281" w:type="dxa"/>
        <w:tblLayout w:type="fixed"/>
        <w:tblCellMar>
          <w:top w:w="0" w:type="dxa"/>
          <w:left w:w="108" w:type="dxa"/>
          <w:bottom w:w="0" w:type="dxa"/>
          <w:right w:w="108" w:type="dxa"/>
        </w:tblCellMar>
        <w:tblLook w:firstRow="1" w:noVBand="1" w:lastRow="0" w:firstColumn="1" w:lastColumn="0" w:noHBand="0" w:val="04a0"/>
      </w:tblPr>
      <w:tblGrid>
        <w:gridCol w:w="563"/>
        <w:gridCol w:w="3548"/>
        <w:gridCol w:w="2977"/>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eastAsia="Times New Roman" w:ascii="Times New Roman" w:hAnsi="Times New Roman"/>
                <w:sz w:val="24"/>
                <w:szCs w:val="24"/>
                <w:shd w:fill="FFFFFF" w:val="clear"/>
                <w:lang w:val="uk-UA" w:eastAsia="ru-RU"/>
              </w:rPr>
              <w:t>керівника* учасника процедури закупівлі або фізичну особу, яка є учасником процедури закупівлі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ascii="Times New Roman" w:hAnsi="Times New Roman"/>
                <w:i/>
                <w:iCs/>
                <w:color w:val="000000" w:themeColor="text1"/>
                <w:sz w:val="24"/>
                <w:szCs w:val="24"/>
                <w:shd w:fill="FFFFFF" w:val="clear"/>
                <w:lang w:val="uk-UA" w:eastAsia="ru-RU"/>
              </w:rPr>
              <w:t>(</w:t>
            </w:r>
            <w:r>
              <w:rPr>
                <w:rFonts w:eastAsia="Times New Roman" w:ascii="Times New Roman" w:hAnsi="Times New Roman"/>
                <w:i/>
                <w:iCs/>
                <w:color w:val="000000" w:themeColor="text1"/>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color w:val="000000" w:themeColor="text1"/>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ascii="Times New Roman" w:hAnsi="Times New Roman"/>
                <w:i/>
                <w:iCs/>
                <w:color w:val="000000" w:themeColor="text1"/>
                <w:sz w:val="24"/>
                <w:szCs w:val="24"/>
                <w:shd w:fill="FFFFFF" w:val="clear"/>
                <w:lang w:val="uk-UA" w:eastAsia="ru-RU"/>
              </w:rPr>
              <w:t>(</w:t>
            </w:r>
            <w:r>
              <w:rPr>
                <w:rFonts w:eastAsia="Times New Roman" w:ascii="Times New Roman" w:hAnsi="Times New Roman"/>
                <w:i/>
                <w:iCs/>
                <w:color w:val="000000" w:themeColor="text1"/>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color w:val="000000" w:themeColor="text1"/>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ascii="Times New Roman" w:hAnsi="Times New Roman"/>
                <w:i/>
                <w:iCs/>
                <w:sz w:val="24"/>
                <w:szCs w:val="24"/>
                <w:lang w:val="uk-UA" w:eastAsia="ru-RU"/>
              </w:rPr>
              <w:t xml:space="preserve"> </w:t>
            </w:r>
          </w:p>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cstheme="minorBidi"/>
                <w:i/>
                <w:iCs/>
                <w:sz w:val="24"/>
                <w:szCs w:val="24"/>
                <w:shd w:fill="FFFFFF" w:val="clear"/>
                <w:lang w:val="uk-UA" w:eastAsia="ru-RU"/>
              </w:rPr>
              <w:t>(</w:t>
            </w:r>
            <w:r>
              <w:rPr>
                <w:rFonts w:eastAsia="Times New Roman" w:ascii="Times New Roman" w:hAnsi="Times New Roman" w:cstheme="minorBidi"/>
                <w:i/>
                <w:iCs/>
                <w:color w:val="000000"/>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eastAsia="Times New Roman" w:cstheme="minorBidi"/>
                <w:color w:val="000000"/>
                <w:sz w:val="24"/>
                <w:szCs w:val="24"/>
                <w:shd w:fill="FFFFFF" w:val="clear"/>
                <w:lang w:val="uk-UA" w:eastAsia="ru-RU"/>
              </w:rPr>
            </w:pPr>
            <w:r>
              <w:rPr>
                <w:rFonts w:eastAsia="Times New Roman" w:cstheme="minorBidi" w:ascii="Times New Roman" w:hAnsi="Times New Roman"/>
                <w:color w:val="000000"/>
                <w:sz w:val="24"/>
                <w:szCs w:val="24"/>
                <w:shd w:fill="FFFFFF" w:val="clear"/>
                <w:lang w:val="uk-UA" w:eastAsia="ru-RU"/>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olor w:val="FF0000"/>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i/>
                <w:iCs/>
                <w:sz w:val="24"/>
                <w:szCs w:val="24"/>
                <w:shd w:fill="FFFFFF" w:val="clear"/>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ascii="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Учасник процедури закупівлі має </w:t>
            </w:r>
            <w:r>
              <w:rPr>
                <w:rFonts w:eastAsia="Times New Roman" w:ascii="Times New Roman" w:hAnsi="Times New Roman"/>
                <w:sz w:val="24"/>
                <w:szCs w:val="24"/>
                <w:lang w:val="uk-UA"/>
              </w:rPr>
              <w:t>надати:</w:t>
            </w:r>
          </w:p>
          <w:p>
            <w:pPr>
              <w:pStyle w:val="Normal"/>
              <w:widowControl w:val="false"/>
              <w:numPr>
                <w:ilvl w:val="0"/>
                <w:numId w:val="1"/>
              </w:numPr>
              <w:spacing w:lineRule="auto" w:line="254"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Normal"/>
              <w:widowControl w:val="false"/>
              <w:numPr>
                <w:ilvl w:val="0"/>
                <w:numId w:val="1"/>
              </w:numPr>
              <w:spacing w:lineRule="auto" w:line="254"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або</w:t>
            </w:r>
          </w:p>
          <w:p>
            <w:pPr>
              <w:pStyle w:val="Normal"/>
              <w:widowControl w:val="false"/>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before="0" w:after="16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0"/>
        <w:jc w:val="both"/>
        <w:rPr>
          <w:rFonts w:ascii="Times New Roman" w:hAnsi="Times New Roman"/>
          <w:lang w:val="uk-UA"/>
        </w:rPr>
      </w:pPr>
      <w:r>
        <w:rPr>
          <w:rFonts w:ascii="Times New Roman" w:hAnsi="Times New Roman"/>
          <w:b/>
          <w:bCs/>
          <w:sz w:val="24"/>
          <w:szCs w:val="24"/>
          <w:lang w:val="uk-UA"/>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3e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d263e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LibreOffice/7.0.1.2$Windows_X86_64 LibreOffice_project/7cbcfc562f6eb6708b5ff7d7397325de9e764452</Application>
  <Pages>6</Pages>
  <Words>1666</Words>
  <Characters>11213</Characters>
  <CharactersWithSpaces>12904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2022-10-19T14:46:00Z</dcterms:created>
  <dc:creator>Admin</dc:creator>
  <dc:description/>
  <dc:language>uk-UA</dc:language>
  <cp:lastModifiedBy/>
  <dcterms:modified xsi:type="dcterms:W3CDTF">2023-05-22T11:24:29Z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