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B657" w14:textId="77777777" w:rsidR="00315B37" w:rsidRPr="00CD26BD" w:rsidRDefault="00315B37" w:rsidP="00315B37">
      <w:pPr>
        <w:tabs>
          <w:tab w:val="center" w:pos="4819"/>
          <w:tab w:val="right" w:pos="9639"/>
        </w:tabs>
        <w:suppressAutoHyphens/>
        <w:jc w:val="right"/>
        <w:outlineLvl w:val="0"/>
        <w:rPr>
          <w:b/>
          <w:lang w:val="uk-UA" w:eastAsia="zh-CN"/>
        </w:rPr>
      </w:pPr>
      <w:r>
        <w:rPr>
          <w:b/>
          <w:lang w:val="uk-UA" w:eastAsia="zh-CN"/>
        </w:rPr>
        <w:t>Додаток 2</w:t>
      </w:r>
    </w:p>
    <w:p w14:paraId="63F7173F" w14:textId="77777777" w:rsidR="00315B37" w:rsidRPr="00CD26BD" w:rsidRDefault="00315B37" w:rsidP="00315B37">
      <w:pPr>
        <w:widowControl w:val="0"/>
        <w:suppressAutoHyphens/>
        <w:autoSpaceDE w:val="0"/>
        <w:jc w:val="right"/>
        <w:rPr>
          <w:lang w:val="uk-UA" w:eastAsia="zh-CN"/>
        </w:rPr>
      </w:pPr>
      <w:r w:rsidRPr="00CD26BD">
        <w:rPr>
          <w:b/>
          <w:lang w:val="uk-UA" w:eastAsia="zh-CN"/>
        </w:rPr>
        <w:t>до  тендерної документації</w:t>
      </w:r>
      <w:r w:rsidRPr="00CD26BD">
        <w:rPr>
          <w:lang w:val="uk-UA" w:eastAsia="zh-CN"/>
        </w:rPr>
        <w:t xml:space="preserve"> </w:t>
      </w:r>
    </w:p>
    <w:p w14:paraId="1943BE9B" w14:textId="77777777" w:rsidR="00C70581" w:rsidRPr="00E92235" w:rsidRDefault="00C70581" w:rsidP="00C70581">
      <w:pPr>
        <w:spacing w:line="264" w:lineRule="auto"/>
        <w:jc w:val="center"/>
        <w:rPr>
          <w:b/>
          <w:lang w:val="uk-UA"/>
        </w:rPr>
      </w:pPr>
      <w:r w:rsidRPr="00E92235">
        <w:rPr>
          <w:b/>
          <w:lang w:val="uk-UA"/>
        </w:rPr>
        <w:t>Технічне завдання</w:t>
      </w:r>
    </w:p>
    <w:p w14:paraId="56F3F74E" w14:textId="77777777" w:rsidR="00C70581" w:rsidRPr="00E92235" w:rsidRDefault="00C70581" w:rsidP="00C70581">
      <w:pPr>
        <w:keepNext/>
        <w:jc w:val="center"/>
        <w:rPr>
          <w:b/>
          <w:lang w:val="uk-UA"/>
        </w:rPr>
      </w:pPr>
      <w:r w:rsidRPr="00E92235">
        <w:rPr>
          <w:b/>
          <w:lang w:val="uk-UA"/>
        </w:rPr>
        <w:t xml:space="preserve">Предмет закупівлі: </w:t>
      </w:r>
    </w:p>
    <w:p w14:paraId="6863519C" w14:textId="77777777" w:rsidR="00C70581" w:rsidRPr="00221E49" w:rsidRDefault="00C70581" w:rsidP="00221E49">
      <w:pPr>
        <w:jc w:val="center"/>
        <w:rPr>
          <w:b/>
          <w:bCs/>
          <w:lang w:val="uk-UA"/>
        </w:rPr>
      </w:pPr>
      <w:r w:rsidRPr="00E92235">
        <w:rPr>
          <w:b/>
          <w:bCs/>
          <w:lang w:val="uk-UA"/>
        </w:rPr>
        <w:t xml:space="preserve">«код ДК 021:2015 - 33690000-3-Лікарські засоби різні» - </w:t>
      </w:r>
      <w:proofErr w:type="spellStart"/>
      <w:r w:rsidRPr="00C70581">
        <w:rPr>
          <w:b/>
          <w:bCs/>
          <w:lang w:val="uk-UA"/>
        </w:rPr>
        <w:t>Ділюент</w:t>
      </w:r>
      <w:proofErr w:type="spellEnd"/>
      <w:r w:rsidRPr="00C70581">
        <w:rPr>
          <w:b/>
          <w:bCs/>
          <w:lang w:val="uk-UA"/>
        </w:rPr>
        <w:t xml:space="preserve"> для СІТ-АЛЛ,  Розчин звичайний  OG6,  Розчин звичайний EA50</w:t>
      </w:r>
      <w:r w:rsidR="00221E49">
        <w:rPr>
          <w:b/>
          <w:bCs/>
          <w:lang w:val="uk-UA"/>
        </w:rPr>
        <w:t>,</w:t>
      </w:r>
      <w:r w:rsidR="00221E49" w:rsidRPr="00221E49">
        <w:rPr>
          <w:lang w:val="uk-UA"/>
        </w:rPr>
        <w:t xml:space="preserve"> </w:t>
      </w:r>
      <w:r w:rsidR="00221E49" w:rsidRPr="00221E49">
        <w:rPr>
          <w:b/>
          <w:bCs/>
          <w:lang w:val="uk-UA"/>
        </w:rPr>
        <w:t>Розчин цитологічний фіксуючий СІТ-АЛЛ</w:t>
      </w:r>
    </w:p>
    <w:p w14:paraId="453ECB8D" w14:textId="77777777" w:rsidR="00CB5168" w:rsidRPr="001262B6" w:rsidRDefault="00CB5168" w:rsidP="00CB5168">
      <w:pPr>
        <w:ind w:firstLine="567"/>
        <w:jc w:val="both"/>
        <w:rPr>
          <w:b/>
          <w:u w:val="single"/>
        </w:rPr>
      </w:pPr>
      <w:proofErr w:type="spellStart"/>
      <w:r w:rsidRPr="001262B6">
        <w:rPr>
          <w:b/>
          <w:u w:val="single"/>
        </w:rPr>
        <w:t>Загальні</w:t>
      </w:r>
      <w:proofErr w:type="spellEnd"/>
      <w:r w:rsidRPr="001262B6">
        <w:rPr>
          <w:b/>
          <w:u w:val="single"/>
        </w:rPr>
        <w:t xml:space="preserve"> </w:t>
      </w:r>
      <w:proofErr w:type="spellStart"/>
      <w:r w:rsidRPr="001262B6">
        <w:rPr>
          <w:b/>
          <w:u w:val="single"/>
        </w:rPr>
        <w:t>вимоги</w:t>
      </w:r>
      <w:proofErr w:type="spellEnd"/>
      <w:r w:rsidRPr="001262B6">
        <w:rPr>
          <w:b/>
          <w:u w:val="single"/>
        </w:rPr>
        <w:t xml:space="preserve">: </w:t>
      </w:r>
    </w:p>
    <w:p w14:paraId="1513C00F" w14:textId="77777777" w:rsidR="00CB5168" w:rsidRPr="001262B6" w:rsidRDefault="00CB5168" w:rsidP="00CB5168">
      <w:pPr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1262B6">
        <w:rPr>
          <w:color w:val="000000"/>
        </w:rPr>
        <w:t xml:space="preserve">Товар повинен бути </w:t>
      </w:r>
      <w:r w:rsidRPr="001262B6">
        <w:rPr>
          <w:bCs/>
          <w:color w:val="000000"/>
        </w:rPr>
        <w:t xml:space="preserve">дозволений для </w:t>
      </w:r>
      <w:proofErr w:type="spellStart"/>
      <w:r w:rsidRPr="001262B6">
        <w:rPr>
          <w:bCs/>
          <w:color w:val="000000"/>
        </w:rPr>
        <w:t>введення</w:t>
      </w:r>
      <w:proofErr w:type="spellEnd"/>
      <w:r w:rsidRPr="001262B6">
        <w:rPr>
          <w:bCs/>
          <w:color w:val="000000"/>
        </w:rPr>
        <w:t xml:space="preserve"> в </w:t>
      </w:r>
      <w:proofErr w:type="spellStart"/>
      <w:r w:rsidRPr="001262B6">
        <w:rPr>
          <w:bCs/>
          <w:color w:val="000000"/>
        </w:rPr>
        <w:t>обіг</w:t>
      </w:r>
      <w:proofErr w:type="spellEnd"/>
      <w:r w:rsidRPr="001262B6">
        <w:rPr>
          <w:bCs/>
          <w:color w:val="000000"/>
        </w:rPr>
        <w:t xml:space="preserve"> та/</w:t>
      </w:r>
      <w:proofErr w:type="spellStart"/>
      <w:r w:rsidRPr="001262B6">
        <w:rPr>
          <w:bCs/>
          <w:color w:val="000000"/>
        </w:rPr>
        <w:t>або</w:t>
      </w:r>
      <w:proofErr w:type="spellEnd"/>
      <w:r w:rsidRPr="001262B6">
        <w:rPr>
          <w:bCs/>
          <w:color w:val="000000"/>
        </w:rPr>
        <w:t xml:space="preserve"> </w:t>
      </w:r>
      <w:proofErr w:type="spellStart"/>
      <w:r w:rsidRPr="001262B6">
        <w:rPr>
          <w:bCs/>
          <w:color w:val="000000"/>
        </w:rPr>
        <w:t>експлуатацію</w:t>
      </w:r>
      <w:proofErr w:type="spellEnd"/>
      <w:r w:rsidRPr="001262B6">
        <w:rPr>
          <w:bCs/>
          <w:color w:val="000000"/>
        </w:rPr>
        <w:t xml:space="preserve"> (</w:t>
      </w:r>
      <w:proofErr w:type="spellStart"/>
      <w:r w:rsidRPr="001262B6">
        <w:rPr>
          <w:bCs/>
          <w:color w:val="000000"/>
        </w:rPr>
        <w:t>застосування</w:t>
      </w:r>
      <w:proofErr w:type="spellEnd"/>
      <w:r w:rsidRPr="001262B6">
        <w:rPr>
          <w:bCs/>
          <w:color w:val="000000"/>
        </w:rPr>
        <w:t xml:space="preserve">) </w:t>
      </w:r>
      <w:r w:rsidRPr="001262B6">
        <w:rPr>
          <w:color w:val="000000"/>
        </w:rPr>
        <w:t xml:space="preserve">в </w:t>
      </w:r>
      <w:proofErr w:type="spellStart"/>
      <w:r w:rsidRPr="001262B6">
        <w:rPr>
          <w:color w:val="000000"/>
        </w:rPr>
        <w:t>Україні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bCs/>
          <w:color w:val="000000"/>
        </w:rPr>
        <w:t>відповідно</w:t>
      </w:r>
      <w:proofErr w:type="spellEnd"/>
      <w:r w:rsidRPr="001262B6">
        <w:rPr>
          <w:bCs/>
          <w:color w:val="000000"/>
        </w:rPr>
        <w:t xml:space="preserve"> до </w:t>
      </w:r>
      <w:proofErr w:type="spellStart"/>
      <w:r w:rsidRPr="001262B6">
        <w:rPr>
          <w:bCs/>
          <w:color w:val="000000"/>
        </w:rPr>
        <w:t>законодавства</w:t>
      </w:r>
      <w:proofErr w:type="spellEnd"/>
      <w:r w:rsidRPr="001262B6">
        <w:rPr>
          <w:bCs/>
          <w:color w:val="000000"/>
        </w:rPr>
        <w:t xml:space="preserve">. </w:t>
      </w:r>
      <w:proofErr w:type="spellStart"/>
      <w:r w:rsidRPr="001262B6">
        <w:rPr>
          <w:bCs/>
          <w:color w:val="000000"/>
        </w:rPr>
        <w:t>Учасник</w:t>
      </w:r>
      <w:proofErr w:type="spellEnd"/>
      <w:r w:rsidRPr="001262B6">
        <w:rPr>
          <w:bCs/>
          <w:color w:val="000000"/>
        </w:rPr>
        <w:t xml:space="preserve"> повинен </w:t>
      </w:r>
      <w:proofErr w:type="spellStart"/>
      <w:r w:rsidRPr="001262B6">
        <w:rPr>
          <w:bCs/>
          <w:color w:val="000000"/>
        </w:rPr>
        <w:t>надати</w:t>
      </w:r>
      <w:proofErr w:type="spellEnd"/>
      <w:r w:rsidRPr="001262B6">
        <w:rPr>
          <w:bCs/>
          <w:color w:val="000000"/>
        </w:rPr>
        <w:t xml:space="preserve"> </w:t>
      </w:r>
      <w:proofErr w:type="spellStart"/>
      <w:r w:rsidRPr="001262B6">
        <w:rPr>
          <w:bCs/>
          <w:color w:val="000000"/>
        </w:rPr>
        <w:t>гарантійний</w:t>
      </w:r>
      <w:proofErr w:type="spellEnd"/>
      <w:r w:rsidRPr="001262B6">
        <w:rPr>
          <w:bCs/>
          <w:color w:val="000000"/>
        </w:rPr>
        <w:t xml:space="preserve"> лист. </w:t>
      </w:r>
    </w:p>
    <w:p w14:paraId="31BBBF24" w14:textId="77777777" w:rsidR="00CB5168" w:rsidRPr="001262B6" w:rsidRDefault="00CB5168" w:rsidP="00CB5168">
      <w:pPr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1262B6">
        <w:rPr>
          <w:color w:val="000000"/>
        </w:rPr>
        <w:t xml:space="preserve">При </w:t>
      </w:r>
      <w:proofErr w:type="spellStart"/>
      <w:r w:rsidRPr="001262B6">
        <w:rPr>
          <w:color w:val="000000"/>
        </w:rPr>
        <w:t>поставці</w:t>
      </w:r>
      <w:proofErr w:type="spellEnd"/>
      <w:r w:rsidRPr="001262B6">
        <w:rPr>
          <w:color w:val="000000"/>
        </w:rPr>
        <w:t xml:space="preserve"> товару повинна </w:t>
      </w:r>
      <w:proofErr w:type="spellStart"/>
      <w:r w:rsidRPr="001262B6">
        <w:rPr>
          <w:color w:val="000000"/>
        </w:rPr>
        <w:t>додержуватись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цілісність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стандартної</w:t>
      </w:r>
      <w:proofErr w:type="spellEnd"/>
      <w:r w:rsidRPr="001262B6">
        <w:rPr>
          <w:color w:val="000000"/>
        </w:rPr>
        <w:t xml:space="preserve"> упаковки з </w:t>
      </w:r>
      <w:proofErr w:type="spellStart"/>
      <w:r w:rsidRPr="001262B6">
        <w:rPr>
          <w:color w:val="000000"/>
        </w:rPr>
        <w:t>необхідними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реквізитами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виробника</w:t>
      </w:r>
      <w:proofErr w:type="spellEnd"/>
      <w:r w:rsidRPr="001262B6">
        <w:rPr>
          <w:color w:val="000000"/>
        </w:rPr>
        <w:t>.</w:t>
      </w:r>
    </w:p>
    <w:p w14:paraId="0AA08AB1" w14:textId="77777777" w:rsidR="00CB5168" w:rsidRPr="001262B6" w:rsidRDefault="00CB5168" w:rsidP="00CB5168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color w:val="000000"/>
          <w:u w:val="single"/>
        </w:rPr>
      </w:pPr>
      <w:proofErr w:type="spellStart"/>
      <w:r w:rsidRPr="001262B6">
        <w:rPr>
          <w:rFonts w:eastAsia="SimSun"/>
          <w:color w:val="000000"/>
          <w:u w:val="single"/>
        </w:rPr>
        <w:t>Гарантійний</w:t>
      </w:r>
      <w:proofErr w:type="spellEnd"/>
      <w:r w:rsidRPr="001262B6">
        <w:rPr>
          <w:rFonts w:eastAsia="SimSun"/>
          <w:color w:val="000000"/>
          <w:u w:val="single"/>
        </w:rPr>
        <w:t xml:space="preserve"> лист, </w:t>
      </w:r>
      <w:proofErr w:type="spellStart"/>
      <w:r w:rsidRPr="001262B6">
        <w:rPr>
          <w:rFonts w:eastAsia="SimSun"/>
          <w:color w:val="000000"/>
          <w:u w:val="single"/>
        </w:rPr>
        <w:t>щодо</w:t>
      </w:r>
      <w:proofErr w:type="spellEnd"/>
      <w:r w:rsidRPr="001262B6">
        <w:rPr>
          <w:rFonts w:eastAsia="SimSun"/>
          <w:color w:val="000000"/>
          <w:u w:val="single"/>
        </w:rPr>
        <w:t xml:space="preserve"> строку </w:t>
      </w:r>
      <w:proofErr w:type="spellStart"/>
      <w:r w:rsidRPr="001262B6">
        <w:rPr>
          <w:rFonts w:eastAsia="SimSun"/>
          <w:color w:val="000000"/>
          <w:u w:val="single"/>
        </w:rPr>
        <w:t>придатності</w:t>
      </w:r>
      <w:proofErr w:type="spellEnd"/>
      <w:r w:rsidRPr="001262B6">
        <w:rPr>
          <w:rFonts w:eastAsia="SimSun"/>
          <w:color w:val="000000"/>
          <w:u w:val="single"/>
        </w:rPr>
        <w:t xml:space="preserve"> товару, </w:t>
      </w:r>
      <w:proofErr w:type="spellStart"/>
      <w:r w:rsidRPr="001262B6">
        <w:rPr>
          <w:rFonts w:eastAsia="SimSun"/>
          <w:color w:val="000000"/>
          <w:u w:val="single"/>
        </w:rPr>
        <w:t>який</w:t>
      </w:r>
      <w:proofErr w:type="spellEnd"/>
      <w:r w:rsidRPr="001262B6">
        <w:rPr>
          <w:rFonts w:eastAsia="SimSun"/>
          <w:color w:val="000000"/>
          <w:u w:val="single"/>
        </w:rPr>
        <w:t xml:space="preserve"> на момент поставки </w:t>
      </w:r>
      <w:proofErr w:type="spellStart"/>
      <w:r w:rsidRPr="001262B6">
        <w:rPr>
          <w:rFonts w:eastAsia="SimSun"/>
          <w:color w:val="000000"/>
          <w:u w:val="single"/>
        </w:rPr>
        <w:t>складатиме</w:t>
      </w:r>
      <w:proofErr w:type="spellEnd"/>
      <w:r w:rsidRPr="001262B6">
        <w:rPr>
          <w:rFonts w:eastAsia="SimSun"/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залишковий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термін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зберігання</w:t>
      </w:r>
      <w:proofErr w:type="spellEnd"/>
      <w:r w:rsidRPr="001262B6">
        <w:rPr>
          <w:color w:val="000000"/>
          <w:u w:val="single"/>
        </w:rPr>
        <w:t xml:space="preserve"> не </w:t>
      </w:r>
      <w:proofErr w:type="spellStart"/>
      <w:r w:rsidRPr="001262B6">
        <w:rPr>
          <w:color w:val="000000"/>
          <w:u w:val="single"/>
        </w:rPr>
        <w:t>менше</w:t>
      </w:r>
      <w:proofErr w:type="spellEnd"/>
      <w:r w:rsidRPr="001262B6">
        <w:rPr>
          <w:color w:val="000000"/>
          <w:u w:val="single"/>
        </w:rPr>
        <w:t xml:space="preserve"> 70</w:t>
      </w:r>
      <w:proofErr w:type="gramStart"/>
      <w:r w:rsidRPr="001262B6">
        <w:rPr>
          <w:color w:val="000000"/>
          <w:u w:val="single"/>
        </w:rPr>
        <w:t xml:space="preserve">%  </w:t>
      </w:r>
      <w:proofErr w:type="spellStart"/>
      <w:r w:rsidRPr="001262B6">
        <w:rPr>
          <w:color w:val="000000"/>
          <w:u w:val="single"/>
        </w:rPr>
        <w:t>від</w:t>
      </w:r>
      <w:proofErr w:type="spellEnd"/>
      <w:proofErr w:type="gram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загального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терміну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придатності</w:t>
      </w:r>
      <w:proofErr w:type="spellEnd"/>
      <w:r w:rsidRPr="001262B6">
        <w:rPr>
          <w:color w:val="000000"/>
          <w:u w:val="single"/>
        </w:rPr>
        <w:t xml:space="preserve">, </w:t>
      </w:r>
      <w:proofErr w:type="spellStart"/>
      <w:r w:rsidRPr="001262B6">
        <w:rPr>
          <w:color w:val="000000"/>
          <w:u w:val="single"/>
        </w:rPr>
        <w:t>встановленого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виробником</w:t>
      </w:r>
      <w:proofErr w:type="spellEnd"/>
      <w:r w:rsidRPr="001262B6">
        <w:rPr>
          <w:color w:val="000000"/>
          <w:u w:val="single"/>
        </w:rPr>
        <w:t>.</w:t>
      </w:r>
    </w:p>
    <w:p w14:paraId="4BF56E22" w14:textId="77777777" w:rsidR="00CB5168" w:rsidRPr="001262B6" w:rsidRDefault="00CB5168" w:rsidP="00CB5168">
      <w:pPr>
        <w:numPr>
          <w:ilvl w:val="0"/>
          <w:numId w:val="1"/>
        </w:numPr>
        <w:ind w:left="0" w:hanging="426"/>
        <w:contextualSpacing/>
        <w:jc w:val="both"/>
        <w:rPr>
          <w:color w:val="000000"/>
          <w:u w:val="single"/>
        </w:rPr>
      </w:pPr>
      <w:proofErr w:type="spellStart"/>
      <w:r w:rsidRPr="001262B6">
        <w:rPr>
          <w:color w:val="000000"/>
          <w:u w:val="single"/>
        </w:rPr>
        <w:t>Учасник</w:t>
      </w:r>
      <w:proofErr w:type="spellEnd"/>
      <w:r w:rsidRPr="001262B6">
        <w:rPr>
          <w:color w:val="000000"/>
          <w:u w:val="single"/>
        </w:rPr>
        <w:t xml:space="preserve"> повинен </w:t>
      </w:r>
      <w:proofErr w:type="spellStart"/>
      <w:r w:rsidRPr="001262B6">
        <w:rPr>
          <w:color w:val="000000"/>
          <w:u w:val="single"/>
        </w:rPr>
        <w:t>надати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копію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дозволу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чинної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ліцензії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здійснення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оптової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роздрібної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торгівлі</w:t>
      </w:r>
      <w:proofErr w:type="spellEnd"/>
      <w:r w:rsidRPr="001262B6">
        <w:rPr>
          <w:color w:val="000000"/>
          <w:u w:val="single"/>
        </w:rPr>
        <w:t xml:space="preserve"> товаром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копію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чинної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ліцензії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виробництво</w:t>
      </w:r>
      <w:proofErr w:type="spellEnd"/>
      <w:r w:rsidRPr="001262B6">
        <w:rPr>
          <w:color w:val="000000"/>
          <w:u w:val="single"/>
        </w:rPr>
        <w:t xml:space="preserve"> товару </w:t>
      </w:r>
      <w:proofErr w:type="spellStart"/>
      <w:r w:rsidRPr="001262B6">
        <w:rPr>
          <w:color w:val="000000"/>
          <w:u w:val="single"/>
        </w:rPr>
        <w:t>якщо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Учасник</w:t>
      </w:r>
      <w:proofErr w:type="spellEnd"/>
      <w:r w:rsidRPr="001262B6">
        <w:rPr>
          <w:color w:val="000000"/>
          <w:u w:val="single"/>
        </w:rPr>
        <w:t xml:space="preserve"> є </w:t>
      </w:r>
      <w:proofErr w:type="spellStart"/>
      <w:r w:rsidRPr="001262B6">
        <w:rPr>
          <w:color w:val="000000"/>
          <w:u w:val="single"/>
        </w:rPr>
        <w:t>вітчизняним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виробником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запропонованого</w:t>
      </w:r>
      <w:proofErr w:type="spellEnd"/>
      <w:r w:rsidRPr="001262B6">
        <w:rPr>
          <w:color w:val="000000"/>
          <w:u w:val="single"/>
        </w:rPr>
        <w:t xml:space="preserve"> Товару; </w:t>
      </w:r>
      <w:proofErr w:type="spellStart"/>
      <w:r w:rsidRPr="001262B6">
        <w:rPr>
          <w:color w:val="000000"/>
          <w:u w:val="single"/>
        </w:rPr>
        <w:t>якщо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отримання</w:t>
      </w:r>
      <w:proofErr w:type="spellEnd"/>
      <w:r w:rsidRPr="001262B6">
        <w:rPr>
          <w:color w:val="000000"/>
          <w:u w:val="single"/>
        </w:rPr>
        <w:t xml:space="preserve"> такого </w:t>
      </w:r>
      <w:proofErr w:type="spellStart"/>
      <w:r w:rsidRPr="001262B6">
        <w:rPr>
          <w:color w:val="000000"/>
          <w:u w:val="single"/>
        </w:rPr>
        <w:t>дозволу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ліцензії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провадження</w:t>
      </w:r>
      <w:proofErr w:type="spellEnd"/>
      <w:r w:rsidRPr="001262B6">
        <w:rPr>
          <w:color w:val="000000"/>
          <w:u w:val="single"/>
        </w:rPr>
        <w:t xml:space="preserve"> такого виду </w:t>
      </w:r>
      <w:proofErr w:type="spellStart"/>
      <w:r w:rsidRPr="001262B6">
        <w:rPr>
          <w:color w:val="000000"/>
          <w:u w:val="single"/>
        </w:rPr>
        <w:t>діяльності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передбачено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законодавством</w:t>
      </w:r>
      <w:proofErr w:type="spellEnd"/>
      <w:r w:rsidRPr="001262B6">
        <w:rPr>
          <w:color w:val="000000"/>
          <w:u w:val="single"/>
        </w:rPr>
        <w:t xml:space="preserve">, у </w:t>
      </w:r>
      <w:proofErr w:type="spellStart"/>
      <w:r w:rsidRPr="001262B6">
        <w:rPr>
          <w:color w:val="000000"/>
          <w:u w:val="single"/>
        </w:rPr>
        <w:t>разі</w:t>
      </w:r>
      <w:proofErr w:type="spellEnd"/>
      <w:r w:rsidRPr="001262B6">
        <w:rPr>
          <w:color w:val="000000"/>
          <w:u w:val="single"/>
        </w:rPr>
        <w:t xml:space="preserve"> не </w:t>
      </w:r>
      <w:proofErr w:type="spellStart"/>
      <w:r w:rsidRPr="001262B6">
        <w:rPr>
          <w:color w:val="000000"/>
          <w:u w:val="single"/>
        </w:rPr>
        <w:t>надання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копії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вище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зазначеного</w:t>
      </w:r>
      <w:proofErr w:type="spellEnd"/>
      <w:r w:rsidRPr="001262B6">
        <w:rPr>
          <w:color w:val="000000"/>
          <w:u w:val="single"/>
        </w:rPr>
        <w:t xml:space="preserve"> документа </w:t>
      </w:r>
      <w:proofErr w:type="spellStart"/>
      <w:r w:rsidRPr="001262B6">
        <w:rPr>
          <w:color w:val="000000"/>
          <w:u w:val="single"/>
        </w:rPr>
        <w:t>надати</w:t>
      </w:r>
      <w:proofErr w:type="spellEnd"/>
      <w:r w:rsidRPr="001262B6">
        <w:rPr>
          <w:color w:val="000000"/>
          <w:u w:val="single"/>
        </w:rPr>
        <w:t xml:space="preserve"> лист- </w:t>
      </w:r>
      <w:proofErr w:type="spellStart"/>
      <w:r w:rsidRPr="001262B6">
        <w:rPr>
          <w:color w:val="000000"/>
          <w:u w:val="single"/>
        </w:rPr>
        <w:t>пояснення</w:t>
      </w:r>
      <w:proofErr w:type="spellEnd"/>
      <w:r w:rsidRPr="001262B6">
        <w:rPr>
          <w:color w:val="000000"/>
          <w:u w:val="single"/>
        </w:rPr>
        <w:t xml:space="preserve"> з </w:t>
      </w:r>
      <w:proofErr w:type="spellStart"/>
      <w:r w:rsidRPr="001262B6">
        <w:rPr>
          <w:color w:val="000000"/>
          <w:u w:val="single"/>
        </w:rPr>
        <w:t>посиланням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норми</w:t>
      </w:r>
      <w:proofErr w:type="spellEnd"/>
      <w:r w:rsidRPr="001262B6">
        <w:rPr>
          <w:color w:val="000000"/>
          <w:u w:val="single"/>
        </w:rPr>
        <w:t xml:space="preserve"> чинного </w:t>
      </w:r>
      <w:proofErr w:type="spellStart"/>
      <w:r w:rsidRPr="001262B6">
        <w:rPr>
          <w:color w:val="000000"/>
          <w:u w:val="single"/>
        </w:rPr>
        <w:t>законодавства</w:t>
      </w:r>
      <w:proofErr w:type="spellEnd"/>
      <w:r w:rsidRPr="001262B6">
        <w:rPr>
          <w:color w:val="000000"/>
          <w:u w:val="single"/>
        </w:rPr>
        <w:t xml:space="preserve"> про </w:t>
      </w:r>
      <w:proofErr w:type="spellStart"/>
      <w:r w:rsidRPr="001262B6">
        <w:rPr>
          <w:color w:val="000000"/>
          <w:u w:val="single"/>
        </w:rPr>
        <w:t>відсутність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дозволу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ліцензії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провадження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певного</w:t>
      </w:r>
      <w:proofErr w:type="spellEnd"/>
      <w:r w:rsidRPr="001262B6">
        <w:rPr>
          <w:color w:val="000000"/>
          <w:u w:val="single"/>
        </w:rPr>
        <w:t xml:space="preserve"> виду </w:t>
      </w:r>
      <w:proofErr w:type="spellStart"/>
      <w:r w:rsidRPr="001262B6">
        <w:rPr>
          <w:color w:val="000000"/>
          <w:u w:val="single"/>
        </w:rPr>
        <w:t>господарської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діяльності</w:t>
      </w:r>
      <w:proofErr w:type="spellEnd"/>
    </w:p>
    <w:p w14:paraId="218EF348" w14:textId="77777777" w:rsidR="00CB5168" w:rsidRPr="001262B6" w:rsidRDefault="00CB5168" w:rsidP="00CB5168">
      <w:pPr>
        <w:numPr>
          <w:ilvl w:val="0"/>
          <w:numId w:val="1"/>
        </w:numPr>
        <w:ind w:left="0"/>
        <w:contextualSpacing/>
        <w:jc w:val="both"/>
        <w:rPr>
          <w:color w:val="000000"/>
          <w:u w:val="single"/>
        </w:rPr>
      </w:pPr>
      <w:r w:rsidRPr="001262B6">
        <w:rPr>
          <w:color w:val="000000"/>
        </w:rPr>
        <w:t xml:space="preserve">З метою </w:t>
      </w:r>
      <w:proofErr w:type="spellStart"/>
      <w:r w:rsidRPr="001262B6">
        <w:rPr>
          <w:color w:val="000000"/>
        </w:rPr>
        <w:t>запобігання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закупівлі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фальсифікатів</w:t>
      </w:r>
      <w:proofErr w:type="spellEnd"/>
      <w:r w:rsidRPr="001262B6">
        <w:rPr>
          <w:color w:val="000000"/>
        </w:rPr>
        <w:t xml:space="preserve"> та </w:t>
      </w:r>
      <w:proofErr w:type="spellStart"/>
      <w:r w:rsidRPr="001262B6">
        <w:rPr>
          <w:color w:val="000000"/>
        </w:rPr>
        <w:t>підтвердження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своєчасного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постачання</w:t>
      </w:r>
      <w:proofErr w:type="spellEnd"/>
      <w:r w:rsidRPr="001262B6">
        <w:rPr>
          <w:color w:val="000000"/>
        </w:rPr>
        <w:t xml:space="preserve">  товару у </w:t>
      </w:r>
      <w:proofErr w:type="spellStart"/>
      <w:r w:rsidRPr="001262B6">
        <w:rPr>
          <w:color w:val="000000"/>
        </w:rPr>
        <w:t>кількості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якості</w:t>
      </w:r>
      <w:proofErr w:type="spellEnd"/>
      <w:r w:rsidRPr="001262B6">
        <w:rPr>
          <w:color w:val="000000"/>
        </w:rPr>
        <w:t xml:space="preserve"> та </w:t>
      </w:r>
      <w:proofErr w:type="spellStart"/>
      <w:r w:rsidRPr="001262B6">
        <w:rPr>
          <w:color w:val="000000"/>
        </w:rPr>
        <w:t>зі</w:t>
      </w:r>
      <w:proofErr w:type="spellEnd"/>
      <w:r w:rsidRPr="001262B6">
        <w:rPr>
          <w:color w:val="000000"/>
        </w:rPr>
        <w:t xml:space="preserve"> строками </w:t>
      </w:r>
      <w:proofErr w:type="spellStart"/>
      <w:r w:rsidRPr="001262B6">
        <w:rPr>
          <w:color w:val="000000"/>
        </w:rPr>
        <w:t>придатності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учасник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надає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оригінал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гарантійного</w:t>
      </w:r>
      <w:proofErr w:type="spellEnd"/>
      <w:r w:rsidRPr="001262B6">
        <w:rPr>
          <w:color w:val="000000"/>
        </w:rPr>
        <w:t xml:space="preserve"> листа </w:t>
      </w:r>
      <w:proofErr w:type="spellStart"/>
      <w:r w:rsidRPr="001262B6">
        <w:rPr>
          <w:color w:val="000000"/>
        </w:rPr>
        <w:t>виробника</w:t>
      </w:r>
      <w:proofErr w:type="spellEnd"/>
      <w:r w:rsidRPr="001262B6">
        <w:rPr>
          <w:color w:val="000000"/>
        </w:rPr>
        <w:t xml:space="preserve"> (</w:t>
      </w:r>
      <w:proofErr w:type="spellStart"/>
      <w:r w:rsidRPr="001262B6">
        <w:rPr>
          <w:color w:val="000000"/>
        </w:rPr>
        <w:t>представництва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філії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виробника</w:t>
      </w:r>
      <w:proofErr w:type="spellEnd"/>
      <w:r w:rsidRPr="001262B6">
        <w:rPr>
          <w:color w:val="000000"/>
        </w:rPr>
        <w:t xml:space="preserve"> – </w:t>
      </w:r>
      <w:proofErr w:type="spellStart"/>
      <w:r w:rsidRPr="001262B6">
        <w:rPr>
          <w:color w:val="000000"/>
        </w:rPr>
        <w:t>якщо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їх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відповідні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повноваження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поширюються</w:t>
      </w:r>
      <w:proofErr w:type="spellEnd"/>
      <w:r w:rsidRPr="001262B6">
        <w:rPr>
          <w:color w:val="000000"/>
        </w:rPr>
        <w:t xml:space="preserve"> на </w:t>
      </w:r>
      <w:proofErr w:type="spellStart"/>
      <w:r w:rsidRPr="001262B6">
        <w:rPr>
          <w:color w:val="000000"/>
        </w:rPr>
        <w:t>територію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України</w:t>
      </w:r>
      <w:proofErr w:type="spellEnd"/>
      <w:r w:rsidRPr="001262B6">
        <w:rPr>
          <w:color w:val="000000"/>
        </w:rPr>
        <w:t xml:space="preserve">) </w:t>
      </w:r>
      <w:proofErr w:type="spellStart"/>
      <w:r w:rsidRPr="001262B6">
        <w:rPr>
          <w:color w:val="000000"/>
        </w:rPr>
        <w:t>або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представника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дистриб’ютора</w:t>
      </w:r>
      <w:proofErr w:type="spellEnd"/>
      <w:r w:rsidRPr="001262B6">
        <w:rPr>
          <w:color w:val="000000"/>
        </w:rPr>
        <w:t xml:space="preserve">, дилера, </w:t>
      </w:r>
      <w:proofErr w:type="spellStart"/>
      <w:r w:rsidRPr="001262B6">
        <w:rPr>
          <w:color w:val="000000"/>
        </w:rPr>
        <w:t>уповноваженого</w:t>
      </w:r>
      <w:proofErr w:type="spellEnd"/>
      <w:r w:rsidRPr="001262B6">
        <w:rPr>
          <w:color w:val="000000"/>
        </w:rPr>
        <w:t xml:space="preserve"> на </w:t>
      </w:r>
      <w:proofErr w:type="spellStart"/>
      <w:r w:rsidRPr="001262B6">
        <w:rPr>
          <w:color w:val="000000"/>
        </w:rPr>
        <w:t>це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виробником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яким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підтверджується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можливість</w:t>
      </w:r>
      <w:proofErr w:type="spellEnd"/>
      <w:r w:rsidRPr="001262B6">
        <w:rPr>
          <w:color w:val="000000"/>
        </w:rPr>
        <w:t xml:space="preserve"> поставки товару, </w:t>
      </w:r>
      <w:proofErr w:type="spellStart"/>
      <w:r w:rsidRPr="00CB08A9">
        <w:rPr>
          <w:b/>
          <w:bCs/>
          <w:color w:val="000000"/>
        </w:rPr>
        <w:t>який</w:t>
      </w:r>
      <w:proofErr w:type="spellEnd"/>
      <w:r w:rsidRPr="00CB08A9">
        <w:rPr>
          <w:b/>
          <w:bCs/>
          <w:color w:val="000000"/>
        </w:rPr>
        <w:t xml:space="preserve"> є предметом </w:t>
      </w:r>
      <w:proofErr w:type="spellStart"/>
      <w:r w:rsidRPr="00CB08A9">
        <w:rPr>
          <w:b/>
          <w:bCs/>
          <w:color w:val="000000"/>
        </w:rPr>
        <w:t>закупівлі</w:t>
      </w:r>
      <w:proofErr w:type="spellEnd"/>
      <w:r w:rsidRPr="00CB08A9">
        <w:rPr>
          <w:b/>
          <w:bCs/>
          <w:color w:val="000000"/>
        </w:rPr>
        <w:t xml:space="preserve"> </w:t>
      </w:r>
      <w:proofErr w:type="spellStart"/>
      <w:r w:rsidRPr="00CB08A9">
        <w:rPr>
          <w:b/>
          <w:bCs/>
          <w:color w:val="000000"/>
        </w:rPr>
        <w:t>цих</w:t>
      </w:r>
      <w:proofErr w:type="spellEnd"/>
      <w:r w:rsidRPr="00CB08A9">
        <w:rPr>
          <w:b/>
          <w:bCs/>
          <w:color w:val="000000"/>
        </w:rPr>
        <w:t xml:space="preserve"> </w:t>
      </w:r>
      <w:proofErr w:type="spellStart"/>
      <w:r w:rsidRPr="00CB08A9">
        <w:rPr>
          <w:b/>
          <w:bCs/>
          <w:color w:val="000000"/>
        </w:rPr>
        <w:t>торгів</w:t>
      </w:r>
      <w:proofErr w:type="spellEnd"/>
      <w:r w:rsidRPr="00CB08A9">
        <w:rPr>
          <w:b/>
          <w:bCs/>
          <w:color w:val="000000"/>
        </w:rPr>
        <w:t xml:space="preserve"> та </w:t>
      </w:r>
      <w:proofErr w:type="spellStart"/>
      <w:r w:rsidRPr="00CB08A9">
        <w:rPr>
          <w:b/>
          <w:bCs/>
          <w:color w:val="000000"/>
        </w:rPr>
        <w:t>пропонується</w:t>
      </w:r>
      <w:proofErr w:type="spellEnd"/>
      <w:r w:rsidRPr="00CB08A9">
        <w:rPr>
          <w:b/>
          <w:bCs/>
          <w:color w:val="000000"/>
        </w:rPr>
        <w:t xml:space="preserve"> </w:t>
      </w:r>
      <w:proofErr w:type="spellStart"/>
      <w:r w:rsidRPr="00CB08A9">
        <w:rPr>
          <w:b/>
          <w:bCs/>
          <w:color w:val="000000"/>
        </w:rPr>
        <w:t>учасником</w:t>
      </w:r>
      <w:proofErr w:type="spellEnd"/>
      <w:r w:rsidRPr="00CB08A9">
        <w:rPr>
          <w:b/>
          <w:bCs/>
          <w:color w:val="000000"/>
        </w:rPr>
        <w:t xml:space="preserve">, у </w:t>
      </w:r>
      <w:proofErr w:type="spellStart"/>
      <w:r w:rsidRPr="00CB08A9">
        <w:rPr>
          <w:b/>
          <w:bCs/>
          <w:color w:val="000000"/>
        </w:rPr>
        <w:t>кількості</w:t>
      </w:r>
      <w:proofErr w:type="spellEnd"/>
      <w:r w:rsidRPr="00CB08A9">
        <w:rPr>
          <w:b/>
          <w:bCs/>
          <w:color w:val="000000"/>
        </w:rPr>
        <w:t xml:space="preserve">, </w:t>
      </w:r>
      <w:proofErr w:type="spellStart"/>
      <w:r w:rsidRPr="00CB08A9">
        <w:rPr>
          <w:b/>
          <w:bCs/>
          <w:color w:val="000000"/>
        </w:rPr>
        <w:t>зі</w:t>
      </w:r>
      <w:proofErr w:type="spellEnd"/>
      <w:r w:rsidRPr="00CB08A9">
        <w:rPr>
          <w:b/>
          <w:bCs/>
          <w:color w:val="000000"/>
        </w:rPr>
        <w:t xml:space="preserve"> строками </w:t>
      </w:r>
      <w:proofErr w:type="spellStart"/>
      <w:r w:rsidRPr="00CB08A9">
        <w:rPr>
          <w:b/>
          <w:bCs/>
          <w:color w:val="000000"/>
        </w:rPr>
        <w:t>придатності</w:t>
      </w:r>
      <w:proofErr w:type="spellEnd"/>
      <w:r w:rsidRPr="00CB08A9">
        <w:rPr>
          <w:b/>
          <w:bCs/>
          <w:color w:val="000000"/>
        </w:rPr>
        <w:t xml:space="preserve"> та в </w:t>
      </w:r>
      <w:proofErr w:type="spellStart"/>
      <w:r w:rsidRPr="00CB08A9">
        <w:rPr>
          <w:b/>
          <w:bCs/>
          <w:color w:val="000000"/>
        </w:rPr>
        <w:t>терміни</w:t>
      </w:r>
      <w:proofErr w:type="spellEnd"/>
      <w:r w:rsidRPr="00CB08A9">
        <w:rPr>
          <w:b/>
          <w:bCs/>
          <w:color w:val="000000"/>
        </w:rPr>
        <w:t xml:space="preserve">, </w:t>
      </w:r>
      <w:proofErr w:type="spellStart"/>
      <w:r w:rsidRPr="00CB08A9">
        <w:rPr>
          <w:b/>
          <w:bCs/>
          <w:color w:val="000000"/>
        </w:rPr>
        <w:t>визначені</w:t>
      </w:r>
      <w:proofErr w:type="spellEnd"/>
      <w:r w:rsidRPr="00CB08A9">
        <w:rPr>
          <w:b/>
          <w:bCs/>
          <w:color w:val="000000"/>
        </w:rPr>
        <w:t xml:space="preserve"> тендерною </w:t>
      </w:r>
      <w:proofErr w:type="spellStart"/>
      <w:r w:rsidRPr="00CB08A9">
        <w:rPr>
          <w:b/>
          <w:bCs/>
          <w:color w:val="000000"/>
        </w:rPr>
        <w:t>документацією</w:t>
      </w:r>
      <w:proofErr w:type="spellEnd"/>
      <w:r w:rsidRPr="00CB08A9">
        <w:rPr>
          <w:b/>
          <w:bCs/>
          <w:color w:val="000000"/>
        </w:rPr>
        <w:t xml:space="preserve">. </w:t>
      </w:r>
    </w:p>
    <w:p w14:paraId="0417DE56" w14:textId="77777777" w:rsidR="00CB5168" w:rsidRPr="001262B6" w:rsidRDefault="00CB5168" w:rsidP="00CB5168">
      <w:pPr>
        <w:numPr>
          <w:ilvl w:val="0"/>
          <w:numId w:val="1"/>
        </w:numPr>
        <w:ind w:left="0"/>
        <w:contextualSpacing/>
        <w:jc w:val="both"/>
        <w:rPr>
          <w:color w:val="000000"/>
          <w:u w:val="single"/>
        </w:rPr>
      </w:pPr>
      <w:r w:rsidRPr="001262B6">
        <w:rPr>
          <w:color w:val="000000"/>
          <w:u w:val="single"/>
        </w:rPr>
        <w:t xml:space="preserve">Строк поставки товару </w:t>
      </w:r>
      <w:proofErr w:type="spellStart"/>
      <w:r w:rsidRPr="001262B6">
        <w:rPr>
          <w:color w:val="000000"/>
          <w:u w:val="single"/>
        </w:rPr>
        <w:t>протягом</w:t>
      </w:r>
      <w:proofErr w:type="spellEnd"/>
      <w:r w:rsidRPr="001262B6">
        <w:rPr>
          <w:color w:val="000000"/>
          <w:u w:val="single"/>
        </w:rPr>
        <w:t xml:space="preserve"> 5 </w:t>
      </w:r>
      <w:proofErr w:type="spellStart"/>
      <w:r w:rsidRPr="001262B6">
        <w:rPr>
          <w:color w:val="000000"/>
          <w:u w:val="single"/>
        </w:rPr>
        <w:t>діб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після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отримання</w:t>
      </w:r>
      <w:proofErr w:type="spellEnd"/>
      <w:r w:rsidRPr="001262B6">
        <w:rPr>
          <w:color w:val="000000"/>
          <w:u w:val="single"/>
        </w:rPr>
        <w:t xml:space="preserve"> заявки </w:t>
      </w:r>
      <w:proofErr w:type="spellStart"/>
      <w:r w:rsidRPr="001262B6">
        <w:rPr>
          <w:color w:val="000000"/>
          <w:u w:val="single"/>
        </w:rPr>
        <w:t>від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Замовника</w:t>
      </w:r>
      <w:proofErr w:type="spellEnd"/>
      <w:r w:rsidRPr="001262B6">
        <w:rPr>
          <w:color w:val="000000"/>
          <w:u w:val="single"/>
        </w:rPr>
        <w:t xml:space="preserve">. </w:t>
      </w:r>
      <w:proofErr w:type="spellStart"/>
      <w:r w:rsidRPr="001262B6">
        <w:rPr>
          <w:color w:val="000000"/>
          <w:u w:val="single"/>
        </w:rPr>
        <w:t>Надати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гарантійний</w:t>
      </w:r>
      <w:proofErr w:type="spellEnd"/>
      <w:r w:rsidRPr="001262B6">
        <w:rPr>
          <w:color w:val="000000"/>
          <w:u w:val="single"/>
        </w:rPr>
        <w:t xml:space="preserve"> лист.</w:t>
      </w:r>
    </w:p>
    <w:p w14:paraId="22B9402B" w14:textId="77777777" w:rsidR="00CB5168" w:rsidRPr="001262B6" w:rsidRDefault="00CB5168" w:rsidP="00CB5168">
      <w:pPr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1262B6">
        <w:rPr>
          <w:color w:val="000000"/>
          <w:u w:val="single"/>
        </w:rPr>
        <w:t xml:space="preserve">У </w:t>
      </w:r>
      <w:proofErr w:type="spellStart"/>
      <w:r w:rsidRPr="001262B6">
        <w:rPr>
          <w:color w:val="000000"/>
          <w:u w:val="single"/>
        </w:rPr>
        <w:t>складі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своєї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пропозиції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учасник</w:t>
      </w:r>
      <w:proofErr w:type="spellEnd"/>
      <w:r w:rsidRPr="001262B6">
        <w:rPr>
          <w:color w:val="000000"/>
          <w:u w:val="single"/>
        </w:rPr>
        <w:t xml:space="preserve"> повинен </w:t>
      </w:r>
      <w:proofErr w:type="spellStart"/>
      <w:r w:rsidRPr="001262B6">
        <w:rPr>
          <w:color w:val="000000"/>
          <w:u w:val="single"/>
        </w:rPr>
        <w:t>надати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довідку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фірмовому</w:t>
      </w:r>
      <w:proofErr w:type="spellEnd"/>
      <w:r w:rsidRPr="001262B6">
        <w:rPr>
          <w:color w:val="000000"/>
          <w:u w:val="single"/>
        </w:rPr>
        <w:t xml:space="preserve"> бланку у </w:t>
      </w:r>
      <w:proofErr w:type="spellStart"/>
      <w:r w:rsidRPr="001262B6">
        <w:rPr>
          <w:color w:val="000000"/>
          <w:u w:val="single"/>
        </w:rPr>
        <w:t>довільній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формі</w:t>
      </w:r>
      <w:proofErr w:type="spellEnd"/>
      <w:r w:rsidRPr="001262B6">
        <w:rPr>
          <w:color w:val="000000"/>
        </w:rPr>
        <w:t xml:space="preserve"> про те, </w:t>
      </w:r>
      <w:proofErr w:type="spellStart"/>
      <w:r w:rsidRPr="001262B6">
        <w:rPr>
          <w:color w:val="000000"/>
        </w:rPr>
        <w:t>що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запропонований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учасником</w:t>
      </w:r>
      <w:proofErr w:type="spellEnd"/>
      <w:r w:rsidRPr="001262B6">
        <w:rPr>
          <w:color w:val="000000"/>
        </w:rPr>
        <w:t xml:space="preserve"> товар буде поставлено </w:t>
      </w:r>
      <w:proofErr w:type="spellStart"/>
      <w:r w:rsidRPr="001262B6">
        <w:rPr>
          <w:color w:val="000000"/>
        </w:rPr>
        <w:t>із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врахуванням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екологічних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вимог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що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викладені</w:t>
      </w:r>
      <w:proofErr w:type="spellEnd"/>
      <w:r w:rsidRPr="001262B6">
        <w:rPr>
          <w:color w:val="000000"/>
        </w:rPr>
        <w:t xml:space="preserve"> в </w:t>
      </w:r>
      <w:proofErr w:type="spellStart"/>
      <w:r w:rsidRPr="001262B6">
        <w:rPr>
          <w:color w:val="000000"/>
        </w:rPr>
        <w:t>законі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України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від</w:t>
      </w:r>
      <w:proofErr w:type="spellEnd"/>
      <w:r w:rsidRPr="001262B6">
        <w:rPr>
          <w:color w:val="000000"/>
        </w:rPr>
        <w:t xml:space="preserve"> 25 червня 1991р №1264-ХII “Про </w:t>
      </w:r>
      <w:proofErr w:type="spellStart"/>
      <w:r w:rsidRPr="001262B6">
        <w:rPr>
          <w:color w:val="000000"/>
        </w:rPr>
        <w:t>охорону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навколишнього</w:t>
      </w:r>
      <w:proofErr w:type="spellEnd"/>
      <w:r w:rsidRPr="001262B6">
        <w:rPr>
          <w:color w:val="000000"/>
        </w:rPr>
        <w:t xml:space="preserve"> природного </w:t>
      </w:r>
      <w:proofErr w:type="spellStart"/>
      <w:r w:rsidRPr="001262B6">
        <w:rPr>
          <w:color w:val="000000"/>
        </w:rPr>
        <w:t>середовища</w:t>
      </w:r>
      <w:proofErr w:type="spellEnd"/>
      <w:r w:rsidRPr="001262B6">
        <w:rPr>
          <w:color w:val="000000"/>
        </w:rPr>
        <w:t xml:space="preserve">”, а </w:t>
      </w:r>
      <w:proofErr w:type="spellStart"/>
      <w:r w:rsidRPr="001262B6">
        <w:rPr>
          <w:color w:val="000000"/>
        </w:rPr>
        <w:t>також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розроблених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відповідно</w:t>
      </w:r>
      <w:proofErr w:type="spellEnd"/>
      <w:r w:rsidRPr="001262B6">
        <w:rPr>
          <w:color w:val="000000"/>
        </w:rPr>
        <w:t xml:space="preserve"> до </w:t>
      </w:r>
      <w:proofErr w:type="spellStart"/>
      <w:r w:rsidRPr="001262B6">
        <w:rPr>
          <w:color w:val="000000"/>
        </w:rPr>
        <w:t>нього</w:t>
      </w:r>
      <w:proofErr w:type="spellEnd"/>
      <w:r w:rsidRPr="001262B6">
        <w:rPr>
          <w:color w:val="000000"/>
        </w:rPr>
        <w:t xml:space="preserve"> </w:t>
      </w:r>
      <w:hyperlink r:id="rId5" w:tgtFrame="_blank" w:history="1">
        <w:r w:rsidRPr="001262B6">
          <w:rPr>
            <w:color w:val="000000"/>
            <w:u w:val="single"/>
          </w:rPr>
          <w:t>Земельн</w:t>
        </w:r>
      </w:hyperlink>
      <w:r w:rsidRPr="001262B6">
        <w:rPr>
          <w:color w:val="000000"/>
        </w:rPr>
        <w:t xml:space="preserve">ого, </w:t>
      </w:r>
      <w:hyperlink r:id="rId6" w:tgtFrame="_blank" w:history="1">
        <w:r w:rsidRPr="001262B6">
          <w:rPr>
            <w:color w:val="000000"/>
            <w:u w:val="single"/>
          </w:rPr>
          <w:t>Водн</w:t>
        </w:r>
      </w:hyperlink>
      <w:r w:rsidRPr="001262B6">
        <w:rPr>
          <w:color w:val="000000"/>
        </w:rPr>
        <w:t xml:space="preserve">ого, </w:t>
      </w:r>
      <w:hyperlink r:id="rId7" w:tgtFrame="_blank" w:history="1">
        <w:proofErr w:type="spellStart"/>
        <w:r w:rsidRPr="001262B6">
          <w:rPr>
            <w:color w:val="000000"/>
            <w:u w:val="single"/>
          </w:rPr>
          <w:t>Лісового</w:t>
        </w:r>
        <w:proofErr w:type="spellEnd"/>
        <w:r w:rsidRPr="001262B6">
          <w:rPr>
            <w:color w:val="000000"/>
            <w:u w:val="single"/>
          </w:rPr>
          <w:t xml:space="preserve"> </w:t>
        </w:r>
        <w:proofErr w:type="spellStart"/>
        <w:r w:rsidRPr="001262B6">
          <w:rPr>
            <w:color w:val="000000"/>
            <w:u w:val="single"/>
          </w:rPr>
          <w:t>кодекс</w:t>
        </w:r>
      </w:hyperlink>
      <w:r w:rsidRPr="001262B6">
        <w:rPr>
          <w:color w:val="000000"/>
        </w:rPr>
        <w:t>ів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Законів</w:t>
      </w:r>
      <w:proofErr w:type="spellEnd"/>
      <w:r w:rsidRPr="001262B6">
        <w:rPr>
          <w:color w:val="000000"/>
        </w:rPr>
        <w:t xml:space="preserve"> “</w:t>
      </w:r>
      <w:hyperlink r:id="rId8" w:tgtFrame="_blank" w:history="1">
        <w:r w:rsidRPr="001262B6">
          <w:rPr>
            <w:color w:val="000000"/>
            <w:u w:val="single"/>
          </w:rPr>
          <w:t xml:space="preserve">Про </w:t>
        </w:r>
        <w:proofErr w:type="spellStart"/>
        <w:r w:rsidRPr="001262B6">
          <w:rPr>
            <w:color w:val="000000"/>
            <w:u w:val="single"/>
          </w:rPr>
          <w:t>охорону</w:t>
        </w:r>
        <w:proofErr w:type="spellEnd"/>
        <w:r w:rsidRPr="001262B6">
          <w:rPr>
            <w:color w:val="000000"/>
            <w:u w:val="single"/>
          </w:rPr>
          <w:t xml:space="preserve"> атмосферного </w:t>
        </w:r>
        <w:proofErr w:type="spellStart"/>
        <w:r w:rsidRPr="001262B6">
          <w:rPr>
            <w:color w:val="000000"/>
            <w:u w:val="single"/>
          </w:rPr>
          <w:t>повітря</w:t>
        </w:r>
        <w:proofErr w:type="spellEnd"/>
      </w:hyperlink>
      <w:r w:rsidRPr="001262B6">
        <w:rPr>
          <w:color w:val="000000"/>
        </w:rPr>
        <w:t xml:space="preserve">”, “Про </w:t>
      </w:r>
      <w:proofErr w:type="spellStart"/>
      <w:r w:rsidRPr="001262B6">
        <w:rPr>
          <w:color w:val="000000"/>
        </w:rPr>
        <w:t>відходи</w:t>
      </w:r>
      <w:proofErr w:type="spellEnd"/>
      <w:r w:rsidRPr="001262B6">
        <w:rPr>
          <w:color w:val="000000"/>
        </w:rPr>
        <w:t xml:space="preserve">”, “Про </w:t>
      </w:r>
      <w:proofErr w:type="spellStart"/>
      <w:r w:rsidRPr="001262B6">
        <w:rPr>
          <w:color w:val="000000"/>
        </w:rPr>
        <w:t>поводження</w:t>
      </w:r>
      <w:proofErr w:type="spellEnd"/>
      <w:r w:rsidRPr="001262B6">
        <w:rPr>
          <w:color w:val="000000"/>
        </w:rPr>
        <w:t xml:space="preserve"> з </w:t>
      </w:r>
      <w:proofErr w:type="spellStart"/>
      <w:r w:rsidRPr="001262B6">
        <w:rPr>
          <w:color w:val="000000"/>
        </w:rPr>
        <w:t>радіоактивними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відходами</w:t>
      </w:r>
      <w:proofErr w:type="spellEnd"/>
      <w:r w:rsidRPr="001262B6">
        <w:rPr>
          <w:color w:val="000000"/>
        </w:rPr>
        <w:t xml:space="preserve">” та </w:t>
      </w:r>
      <w:proofErr w:type="spellStart"/>
      <w:r w:rsidRPr="001262B6">
        <w:rPr>
          <w:color w:val="000000"/>
        </w:rPr>
        <w:t>передбачати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усі</w:t>
      </w:r>
      <w:proofErr w:type="spellEnd"/>
      <w:r w:rsidRPr="001262B6">
        <w:rPr>
          <w:color w:val="000000"/>
        </w:rPr>
        <w:t xml:space="preserve"> заходи </w:t>
      </w:r>
      <w:proofErr w:type="spellStart"/>
      <w:r w:rsidRPr="001262B6">
        <w:rPr>
          <w:color w:val="000000"/>
        </w:rPr>
        <w:t>спрямовані</w:t>
      </w:r>
      <w:proofErr w:type="spellEnd"/>
      <w:r w:rsidRPr="001262B6">
        <w:rPr>
          <w:color w:val="000000"/>
        </w:rPr>
        <w:t xml:space="preserve"> на </w:t>
      </w:r>
      <w:proofErr w:type="spellStart"/>
      <w:r w:rsidRPr="001262B6">
        <w:rPr>
          <w:color w:val="000000"/>
        </w:rPr>
        <w:t>захист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довкілля</w:t>
      </w:r>
      <w:proofErr w:type="spellEnd"/>
    </w:p>
    <w:p w14:paraId="37DF6A91" w14:textId="5F51F426" w:rsidR="00CB5168" w:rsidRPr="00315B37" w:rsidRDefault="00CB5168" w:rsidP="00CB08A9">
      <w:pPr>
        <w:contextualSpacing/>
        <w:jc w:val="both"/>
        <w:rPr>
          <w:color w:val="000000"/>
          <w:highlight w:val="yellow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049"/>
        <w:gridCol w:w="1275"/>
        <w:gridCol w:w="960"/>
        <w:gridCol w:w="4592"/>
        <w:gridCol w:w="1008"/>
        <w:gridCol w:w="1278"/>
      </w:tblGrid>
      <w:tr w:rsidR="00E362BB" w:rsidRPr="00E362BB" w14:paraId="62CB9EB1" w14:textId="77777777" w:rsidTr="00811B13">
        <w:trPr>
          <w:trHeight w:val="678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081851" w14:textId="77777777" w:rsidR="00E362BB" w:rsidRPr="00E362BB" w:rsidRDefault="00E362BB" w:rsidP="00E362BB">
            <w:pPr>
              <w:jc w:val="center"/>
              <w:rPr>
                <w:b/>
                <w:bCs/>
                <w:sz w:val="18"/>
                <w:szCs w:val="18"/>
              </w:rPr>
            </w:pPr>
            <w:r w:rsidRPr="00E362B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14:paraId="7E999485" w14:textId="77777777" w:rsidR="00E362BB" w:rsidRPr="00E362BB" w:rsidRDefault="00E362BB" w:rsidP="00E362B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362BB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E39BE3" w14:textId="77777777" w:rsidR="00E362BB" w:rsidRPr="00E362BB" w:rsidRDefault="00E362BB" w:rsidP="00E362B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62BB">
              <w:rPr>
                <w:b/>
                <w:bCs/>
                <w:sz w:val="18"/>
                <w:szCs w:val="18"/>
              </w:rPr>
              <w:t>Кіл-сть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AE05120" w14:textId="77777777" w:rsidR="00E362BB" w:rsidRDefault="00811B13" w:rsidP="00E362B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Одиниця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5A94DD30" w14:textId="77777777" w:rsidR="00811B13" w:rsidRPr="00811B13" w:rsidRDefault="00811B13" w:rsidP="00E362B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14:paraId="1BF66CDB" w14:textId="77777777" w:rsidR="00E362BB" w:rsidRPr="00E362BB" w:rsidRDefault="00E362BB" w:rsidP="00E362BB">
            <w:pPr>
              <w:jc w:val="center"/>
              <w:rPr>
                <w:sz w:val="18"/>
                <w:szCs w:val="18"/>
              </w:rPr>
            </w:pPr>
            <w:r w:rsidRPr="00E362BB">
              <w:rPr>
                <w:sz w:val="18"/>
                <w:szCs w:val="18"/>
              </w:rPr>
              <w:t>Медико-</w:t>
            </w:r>
            <w:proofErr w:type="spellStart"/>
            <w:r w:rsidRPr="00E362BB">
              <w:rPr>
                <w:sz w:val="18"/>
                <w:szCs w:val="18"/>
              </w:rPr>
              <w:t>технічні</w:t>
            </w:r>
            <w:proofErr w:type="spellEnd"/>
            <w:r w:rsidRPr="00E362BB">
              <w:rPr>
                <w:sz w:val="18"/>
                <w:szCs w:val="18"/>
              </w:rPr>
              <w:t xml:space="preserve"> </w:t>
            </w:r>
            <w:proofErr w:type="spellStart"/>
            <w:r w:rsidRPr="00E362BB">
              <w:rPr>
                <w:sz w:val="18"/>
                <w:szCs w:val="18"/>
              </w:rPr>
              <w:t>вимоги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57BACF0B" w14:textId="77777777" w:rsidR="00E362BB" w:rsidRPr="00E362BB" w:rsidRDefault="00E362BB" w:rsidP="00E362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362BB">
              <w:rPr>
                <w:sz w:val="18"/>
                <w:szCs w:val="18"/>
                <w:lang w:val="uk-UA"/>
              </w:rPr>
              <w:t>Од.виміру</w:t>
            </w:r>
            <w:proofErr w:type="spellEnd"/>
          </w:p>
        </w:tc>
        <w:tc>
          <w:tcPr>
            <w:tcW w:w="598" w:type="dxa"/>
            <w:shd w:val="clear" w:color="auto" w:fill="auto"/>
            <w:vAlign w:val="center"/>
          </w:tcPr>
          <w:p w14:paraId="34A5CFC2" w14:textId="77777777" w:rsidR="00E362BB" w:rsidRPr="00E362BB" w:rsidRDefault="00E362BB" w:rsidP="00E362BB">
            <w:pPr>
              <w:jc w:val="center"/>
              <w:rPr>
                <w:sz w:val="18"/>
                <w:szCs w:val="18"/>
                <w:lang w:val="uk-UA"/>
              </w:rPr>
            </w:pPr>
            <w:r w:rsidRPr="00E362BB">
              <w:rPr>
                <w:sz w:val="18"/>
                <w:szCs w:val="18"/>
                <w:lang w:val="uk-UA"/>
              </w:rPr>
              <w:t xml:space="preserve">Відповідність </w:t>
            </w:r>
          </w:p>
          <w:p w14:paraId="58201B7E" w14:textId="77777777" w:rsidR="00E362BB" w:rsidRPr="00E362BB" w:rsidRDefault="00E362BB" w:rsidP="00E362BB">
            <w:pPr>
              <w:jc w:val="center"/>
              <w:rPr>
                <w:sz w:val="18"/>
                <w:szCs w:val="18"/>
                <w:lang w:val="uk-UA"/>
              </w:rPr>
            </w:pPr>
            <w:r w:rsidRPr="00E362BB">
              <w:rPr>
                <w:sz w:val="18"/>
                <w:szCs w:val="18"/>
                <w:lang w:val="uk-UA"/>
              </w:rPr>
              <w:t>Так/ні</w:t>
            </w:r>
          </w:p>
        </w:tc>
      </w:tr>
      <w:tr w:rsidR="00E362BB" w:rsidRPr="00E362BB" w14:paraId="5E63CEC3" w14:textId="77777777" w:rsidTr="00811B13">
        <w:trPr>
          <w:trHeight w:val="225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93D80C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  <w:r w:rsidRPr="00E362BB">
              <w:rPr>
                <w:sz w:val="16"/>
                <w:szCs w:val="16"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14:paraId="1AD425D8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  <w:proofErr w:type="spellStart"/>
            <w:r w:rsidRPr="00E362BB">
              <w:rPr>
                <w:sz w:val="16"/>
                <w:szCs w:val="16"/>
              </w:rPr>
              <w:t>Ділюент</w:t>
            </w:r>
            <w:proofErr w:type="spellEnd"/>
            <w:r w:rsidRPr="00E362BB">
              <w:rPr>
                <w:sz w:val="16"/>
                <w:szCs w:val="16"/>
              </w:rPr>
              <w:t xml:space="preserve"> для СІТ-АЛЛ / </w:t>
            </w:r>
            <w:proofErr w:type="spellStart"/>
            <w:r w:rsidRPr="00E362BB">
              <w:rPr>
                <w:sz w:val="16"/>
                <w:szCs w:val="16"/>
              </w:rPr>
              <w:t>Diluant</w:t>
            </w:r>
            <w:proofErr w:type="spellEnd"/>
            <w:r w:rsidRPr="00E362BB">
              <w:rPr>
                <w:sz w:val="16"/>
                <w:szCs w:val="16"/>
              </w:rPr>
              <w:t xml:space="preserve"> </w:t>
            </w:r>
            <w:proofErr w:type="spellStart"/>
            <w:r w:rsidRPr="00E362BB">
              <w:rPr>
                <w:sz w:val="16"/>
                <w:szCs w:val="16"/>
              </w:rPr>
              <w:t>pour</w:t>
            </w:r>
            <w:proofErr w:type="spellEnd"/>
            <w:r w:rsidRPr="00E362BB">
              <w:rPr>
                <w:sz w:val="16"/>
                <w:szCs w:val="16"/>
              </w:rPr>
              <w:t xml:space="preserve">  CYT-ALL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BC8F02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  <w:r w:rsidRPr="00E362BB">
              <w:rPr>
                <w:sz w:val="16"/>
                <w:szCs w:val="16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7C71AC3" w14:textId="77777777" w:rsidR="00E362BB" w:rsidRPr="00811B13" w:rsidRDefault="00811B13" w:rsidP="00E362BB">
            <w:pPr>
              <w:jc w:val="center"/>
              <w:rPr>
                <w:sz w:val="16"/>
                <w:szCs w:val="16"/>
                <w:lang w:val="uk-UA"/>
              </w:rPr>
            </w:pPr>
            <w:r w:rsidRPr="00811B13">
              <w:rPr>
                <w:sz w:val="16"/>
                <w:szCs w:val="16"/>
                <w:lang w:val="uk-UA"/>
              </w:rPr>
              <w:t>у</w:t>
            </w:r>
            <w:r w:rsidR="00E362BB" w:rsidRPr="00811B13">
              <w:rPr>
                <w:sz w:val="16"/>
                <w:szCs w:val="16"/>
              </w:rPr>
              <w:t>паков</w:t>
            </w:r>
            <w:r w:rsidRPr="00811B13"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14:paraId="2C5A9F48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  <w:r w:rsidRPr="00E362BB">
              <w:rPr>
                <w:sz w:val="16"/>
                <w:szCs w:val="16"/>
              </w:rPr>
              <w:t xml:space="preserve">Клейка </w:t>
            </w:r>
            <w:proofErr w:type="spellStart"/>
            <w:r w:rsidRPr="00E362BB">
              <w:rPr>
                <w:sz w:val="16"/>
                <w:szCs w:val="16"/>
              </w:rPr>
              <w:t>речовина</w:t>
            </w:r>
            <w:proofErr w:type="spellEnd"/>
            <w:r w:rsidRPr="00E362BB">
              <w:rPr>
                <w:sz w:val="16"/>
                <w:szCs w:val="16"/>
              </w:rPr>
              <w:t xml:space="preserve"> </w:t>
            </w:r>
            <w:proofErr w:type="spellStart"/>
            <w:r w:rsidRPr="00E362BB">
              <w:rPr>
                <w:sz w:val="16"/>
                <w:szCs w:val="16"/>
              </w:rPr>
              <w:t>призначена</w:t>
            </w:r>
            <w:proofErr w:type="spellEnd"/>
            <w:r w:rsidRPr="00E362BB">
              <w:rPr>
                <w:sz w:val="16"/>
                <w:szCs w:val="16"/>
              </w:rPr>
              <w:t xml:space="preserve"> для </w:t>
            </w:r>
            <w:proofErr w:type="spellStart"/>
            <w:r w:rsidRPr="00E362BB">
              <w:rPr>
                <w:sz w:val="16"/>
                <w:szCs w:val="16"/>
              </w:rPr>
              <w:t>використання</w:t>
            </w:r>
            <w:proofErr w:type="spellEnd"/>
            <w:r w:rsidRPr="00E362BB">
              <w:rPr>
                <w:sz w:val="16"/>
                <w:szCs w:val="16"/>
              </w:rPr>
              <w:t xml:space="preserve"> на </w:t>
            </w:r>
            <w:proofErr w:type="spellStart"/>
            <w:r w:rsidRPr="00E362BB">
              <w:rPr>
                <w:sz w:val="16"/>
                <w:szCs w:val="16"/>
              </w:rPr>
              <w:t>цитопроцесорі</w:t>
            </w:r>
            <w:proofErr w:type="spellEnd"/>
            <w:r w:rsidRPr="00E362BB">
              <w:rPr>
                <w:sz w:val="16"/>
                <w:szCs w:val="16"/>
              </w:rPr>
              <w:t xml:space="preserve"> «IDC-20» (ILSA, </w:t>
            </w:r>
            <w:proofErr w:type="spellStart"/>
            <w:r w:rsidRPr="00E362BB">
              <w:rPr>
                <w:sz w:val="16"/>
                <w:szCs w:val="16"/>
              </w:rPr>
              <w:t>Франція</w:t>
            </w:r>
            <w:proofErr w:type="spellEnd"/>
            <w:r w:rsidRPr="00E362BB">
              <w:rPr>
                <w:sz w:val="16"/>
                <w:szCs w:val="16"/>
              </w:rPr>
              <w:t xml:space="preserve">) - для </w:t>
            </w:r>
            <w:proofErr w:type="spellStart"/>
            <w:r w:rsidRPr="00E362BB">
              <w:rPr>
                <w:sz w:val="16"/>
                <w:szCs w:val="16"/>
              </w:rPr>
              <w:t>приготування</w:t>
            </w:r>
            <w:proofErr w:type="spellEnd"/>
            <w:r w:rsidRPr="00E362BB">
              <w:rPr>
                <w:sz w:val="16"/>
                <w:szCs w:val="16"/>
              </w:rPr>
              <w:t xml:space="preserve"> </w:t>
            </w:r>
            <w:proofErr w:type="spellStart"/>
            <w:r w:rsidRPr="00E362BB">
              <w:rPr>
                <w:sz w:val="16"/>
                <w:szCs w:val="16"/>
              </w:rPr>
              <w:t>цервікальних</w:t>
            </w:r>
            <w:proofErr w:type="spellEnd"/>
            <w:r w:rsidRPr="00E362BB">
              <w:rPr>
                <w:sz w:val="16"/>
                <w:szCs w:val="16"/>
              </w:rPr>
              <w:t xml:space="preserve"> </w:t>
            </w:r>
            <w:proofErr w:type="spellStart"/>
            <w:r w:rsidRPr="00E362BB">
              <w:rPr>
                <w:sz w:val="16"/>
                <w:szCs w:val="16"/>
              </w:rPr>
              <w:t>мазків</w:t>
            </w:r>
            <w:proofErr w:type="spellEnd"/>
            <w:r w:rsidRPr="00E362BB">
              <w:rPr>
                <w:sz w:val="16"/>
                <w:szCs w:val="16"/>
              </w:rPr>
              <w:t xml:space="preserve">, про </w:t>
            </w:r>
            <w:proofErr w:type="spellStart"/>
            <w:r w:rsidRPr="00E362BB">
              <w:rPr>
                <w:sz w:val="16"/>
                <w:szCs w:val="16"/>
              </w:rPr>
              <w:t>що</w:t>
            </w:r>
            <w:proofErr w:type="spellEnd"/>
            <w:r w:rsidRPr="00E362BB">
              <w:rPr>
                <w:sz w:val="16"/>
                <w:szCs w:val="16"/>
              </w:rPr>
              <w:t xml:space="preserve"> повинно бути </w:t>
            </w:r>
            <w:proofErr w:type="spellStart"/>
            <w:r w:rsidRPr="00E362BB">
              <w:rPr>
                <w:sz w:val="16"/>
                <w:szCs w:val="16"/>
              </w:rPr>
              <w:t>зазначено</w:t>
            </w:r>
            <w:proofErr w:type="spellEnd"/>
            <w:r w:rsidRPr="00E362BB">
              <w:rPr>
                <w:sz w:val="16"/>
                <w:szCs w:val="16"/>
              </w:rPr>
              <w:t xml:space="preserve"> в </w:t>
            </w:r>
            <w:proofErr w:type="spellStart"/>
            <w:r w:rsidRPr="00E362BB">
              <w:rPr>
                <w:sz w:val="16"/>
                <w:szCs w:val="16"/>
              </w:rPr>
              <w:t>інструкції</w:t>
            </w:r>
            <w:proofErr w:type="spellEnd"/>
            <w:r w:rsidRPr="00E362BB">
              <w:rPr>
                <w:sz w:val="16"/>
                <w:szCs w:val="16"/>
              </w:rPr>
              <w:t xml:space="preserve"> до </w:t>
            </w:r>
            <w:proofErr w:type="spellStart"/>
            <w:r w:rsidRPr="00E362BB">
              <w:rPr>
                <w:sz w:val="16"/>
                <w:szCs w:val="16"/>
              </w:rPr>
              <w:t>цитопроцесора</w:t>
            </w:r>
            <w:proofErr w:type="spellEnd"/>
            <w:r w:rsidRPr="00E362BB">
              <w:rPr>
                <w:sz w:val="16"/>
                <w:szCs w:val="16"/>
              </w:rPr>
              <w:t xml:space="preserve"> </w:t>
            </w:r>
            <w:r w:rsidRPr="00E362BB">
              <w:rPr>
                <w:sz w:val="16"/>
                <w:szCs w:val="16"/>
              </w:rPr>
              <w:br/>
              <w:t xml:space="preserve">«IDC-20» (ILSA, </w:t>
            </w:r>
            <w:proofErr w:type="spellStart"/>
            <w:r w:rsidRPr="00E362BB">
              <w:rPr>
                <w:sz w:val="16"/>
                <w:szCs w:val="16"/>
              </w:rPr>
              <w:t>Франція</w:t>
            </w:r>
            <w:proofErr w:type="spellEnd"/>
            <w:r w:rsidRPr="00E362BB">
              <w:rPr>
                <w:sz w:val="16"/>
                <w:szCs w:val="16"/>
              </w:rPr>
              <w:t xml:space="preserve">). Фасовка </w:t>
            </w:r>
            <w:proofErr w:type="spellStart"/>
            <w:r w:rsidRPr="00E362BB">
              <w:rPr>
                <w:sz w:val="16"/>
                <w:szCs w:val="16"/>
              </w:rPr>
              <w:t>речовини</w:t>
            </w:r>
            <w:proofErr w:type="spellEnd"/>
            <w:r w:rsidRPr="00E362BB">
              <w:rPr>
                <w:sz w:val="16"/>
                <w:szCs w:val="16"/>
              </w:rPr>
              <w:t xml:space="preserve"> - не </w:t>
            </w:r>
            <w:proofErr w:type="spellStart"/>
            <w:r w:rsidRPr="00E362BB">
              <w:rPr>
                <w:sz w:val="16"/>
                <w:szCs w:val="16"/>
              </w:rPr>
              <w:t>більше</w:t>
            </w:r>
            <w:proofErr w:type="spellEnd"/>
            <w:r w:rsidRPr="00E362BB">
              <w:rPr>
                <w:sz w:val="16"/>
                <w:szCs w:val="16"/>
              </w:rPr>
              <w:t xml:space="preserve"> </w:t>
            </w:r>
            <w:proofErr w:type="spellStart"/>
            <w:r w:rsidRPr="00E362BB">
              <w:rPr>
                <w:sz w:val="16"/>
                <w:szCs w:val="16"/>
              </w:rPr>
              <w:t>ніж</w:t>
            </w:r>
            <w:proofErr w:type="spellEnd"/>
            <w:r w:rsidRPr="00E362BB">
              <w:rPr>
                <w:sz w:val="16"/>
                <w:szCs w:val="16"/>
              </w:rPr>
              <w:t xml:space="preserve"> 500 мл. у </w:t>
            </w:r>
            <w:proofErr w:type="spellStart"/>
            <w:r w:rsidRPr="00E362BB">
              <w:rPr>
                <w:sz w:val="16"/>
                <w:szCs w:val="16"/>
              </w:rPr>
              <w:t>флаконі</w:t>
            </w:r>
            <w:proofErr w:type="spellEnd"/>
            <w:r w:rsidRPr="00E362BB">
              <w:rPr>
                <w:sz w:val="16"/>
                <w:szCs w:val="16"/>
              </w:rPr>
              <w:t>.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B9D4B20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C57C66B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</w:p>
        </w:tc>
      </w:tr>
      <w:tr w:rsidR="00E362BB" w:rsidRPr="00E362BB" w14:paraId="22C1404B" w14:textId="77777777" w:rsidTr="00811B13">
        <w:trPr>
          <w:trHeight w:val="225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FFEB27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  <w:r w:rsidRPr="00E362BB">
              <w:rPr>
                <w:sz w:val="16"/>
                <w:szCs w:val="16"/>
              </w:rPr>
              <w:t>2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14:paraId="35ED089E" w14:textId="77777777" w:rsidR="00E362BB" w:rsidRPr="00E362BB" w:rsidRDefault="00E362BB" w:rsidP="00E362B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362BB">
              <w:rPr>
                <w:sz w:val="16"/>
                <w:szCs w:val="16"/>
              </w:rPr>
              <w:t>Розчин</w:t>
            </w:r>
            <w:proofErr w:type="spellEnd"/>
            <w:r w:rsidRPr="00E362B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62BB">
              <w:rPr>
                <w:sz w:val="16"/>
                <w:szCs w:val="16"/>
              </w:rPr>
              <w:t>звичайний</w:t>
            </w:r>
            <w:proofErr w:type="spellEnd"/>
            <w:r w:rsidRPr="00E362BB">
              <w:rPr>
                <w:sz w:val="16"/>
                <w:szCs w:val="16"/>
                <w:lang w:val="en-US"/>
              </w:rPr>
              <w:t xml:space="preserve">  OG6 / OG6 normal solution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7059E2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  <w:r w:rsidRPr="00E362BB">
              <w:rPr>
                <w:sz w:val="16"/>
                <w:szCs w:val="16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2E350DB1" w14:textId="77777777" w:rsidR="00E362BB" w:rsidRPr="00811B13" w:rsidRDefault="00811B13" w:rsidP="00E362BB">
            <w:pPr>
              <w:jc w:val="center"/>
              <w:rPr>
                <w:sz w:val="16"/>
                <w:szCs w:val="16"/>
              </w:rPr>
            </w:pPr>
            <w:r w:rsidRPr="00811B13">
              <w:rPr>
                <w:sz w:val="16"/>
                <w:szCs w:val="16"/>
                <w:lang w:val="uk-UA"/>
              </w:rPr>
              <w:t>у</w:t>
            </w:r>
            <w:r w:rsidRPr="00811B13">
              <w:rPr>
                <w:sz w:val="16"/>
                <w:szCs w:val="16"/>
              </w:rPr>
              <w:t>паков</w:t>
            </w:r>
            <w:r w:rsidRPr="00811B13"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14:paraId="445B09EE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  <w:proofErr w:type="spellStart"/>
            <w:r w:rsidRPr="00E362BB">
              <w:rPr>
                <w:sz w:val="16"/>
                <w:szCs w:val="16"/>
              </w:rPr>
              <w:t>Фарба</w:t>
            </w:r>
            <w:proofErr w:type="spellEnd"/>
            <w:r w:rsidRPr="00E362BB">
              <w:rPr>
                <w:sz w:val="16"/>
                <w:szCs w:val="16"/>
              </w:rPr>
              <w:t xml:space="preserve"> «</w:t>
            </w:r>
            <w:proofErr w:type="spellStart"/>
            <w:r w:rsidRPr="00E362BB">
              <w:rPr>
                <w:sz w:val="16"/>
                <w:szCs w:val="16"/>
              </w:rPr>
              <w:t>Orange</w:t>
            </w:r>
            <w:proofErr w:type="spellEnd"/>
            <w:r w:rsidRPr="00E362BB">
              <w:rPr>
                <w:sz w:val="16"/>
                <w:szCs w:val="16"/>
              </w:rPr>
              <w:t xml:space="preserve"> G» </w:t>
            </w:r>
            <w:proofErr w:type="spellStart"/>
            <w:r w:rsidRPr="00E362BB">
              <w:rPr>
                <w:sz w:val="16"/>
                <w:szCs w:val="16"/>
              </w:rPr>
              <w:t>призначена</w:t>
            </w:r>
            <w:proofErr w:type="spellEnd"/>
            <w:r w:rsidRPr="00E362BB">
              <w:rPr>
                <w:sz w:val="16"/>
                <w:szCs w:val="16"/>
              </w:rPr>
              <w:t xml:space="preserve"> для </w:t>
            </w:r>
            <w:proofErr w:type="spellStart"/>
            <w:r w:rsidRPr="00E362BB">
              <w:rPr>
                <w:sz w:val="16"/>
                <w:szCs w:val="16"/>
              </w:rPr>
              <w:t>фарбування</w:t>
            </w:r>
            <w:proofErr w:type="spellEnd"/>
            <w:r w:rsidRPr="00E362BB">
              <w:rPr>
                <w:sz w:val="16"/>
                <w:szCs w:val="16"/>
              </w:rPr>
              <w:t xml:space="preserve"> по протоколу «</w:t>
            </w:r>
            <w:proofErr w:type="spellStart"/>
            <w:r w:rsidRPr="00E362BB">
              <w:rPr>
                <w:sz w:val="16"/>
                <w:szCs w:val="16"/>
              </w:rPr>
              <w:t>Папаніколау</w:t>
            </w:r>
            <w:proofErr w:type="spellEnd"/>
            <w:r w:rsidRPr="00E362BB">
              <w:rPr>
                <w:sz w:val="16"/>
                <w:szCs w:val="16"/>
              </w:rPr>
              <w:t xml:space="preserve">». </w:t>
            </w:r>
            <w:proofErr w:type="spellStart"/>
            <w:r w:rsidRPr="00E362BB">
              <w:rPr>
                <w:sz w:val="16"/>
                <w:szCs w:val="16"/>
              </w:rPr>
              <w:t>Запропонована</w:t>
            </w:r>
            <w:proofErr w:type="spellEnd"/>
            <w:r w:rsidRPr="00E362BB">
              <w:rPr>
                <w:sz w:val="16"/>
                <w:szCs w:val="16"/>
              </w:rPr>
              <w:t xml:space="preserve"> </w:t>
            </w:r>
            <w:proofErr w:type="spellStart"/>
            <w:r w:rsidRPr="00E362BB">
              <w:rPr>
                <w:sz w:val="16"/>
                <w:szCs w:val="16"/>
              </w:rPr>
              <w:t>фарба</w:t>
            </w:r>
            <w:proofErr w:type="spellEnd"/>
            <w:r w:rsidRPr="00E362BB">
              <w:rPr>
                <w:sz w:val="16"/>
                <w:szCs w:val="16"/>
              </w:rPr>
              <w:t xml:space="preserve"> повинна бути </w:t>
            </w:r>
            <w:proofErr w:type="spellStart"/>
            <w:r w:rsidRPr="00E362BB">
              <w:rPr>
                <w:sz w:val="16"/>
                <w:szCs w:val="16"/>
              </w:rPr>
              <w:t>адаптована</w:t>
            </w:r>
            <w:proofErr w:type="spellEnd"/>
            <w:r w:rsidRPr="00E362BB">
              <w:rPr>
                <w:sz w:val="16"/>
                <w:szCs w:val="16"/>
              </w:rPr>
              <w:t xml:space="preserve"> для </w:t>
            </w:r>
            <w:proofErr w:type="spellStart"/>
            <w:r w:rsidRPr="00E362BB">
              <w:rPr>
                <w:sz w:val="16"/>
                <w:szCs w:val="16"/>
              </w:rPr>
              <w:t>забарвлення</w:t>
            </w:r>
            <w:proofErr w:type="spellEnd"/>
            <w:r w:rsidRPr="00E362BB">
              <w:rPr>
                <w:sz w:val="16"/>
                <w:szCs w:val="16"/>
              </w:rPr>
              <w:t xml:space="preserve"> по протоколу «</w:t>
            </w:r>
            <w:proofErr w:type="spellStart"/>
            <w:r w:rsidRPr="00E362BB">
              <w:rPr>
                <w:sz w:val="16"/>
                <w:szCs w:val="16"/>
              </w:rPr>
              <w:t>Папаніколау</w:t>
            </w:r>
            <w:proofErr w:type="spellEnd"/>
            <w:r w:rsidRPr="00E362BB">
              <w:rPr>
                <w:sz w:val="16"/>
                <w:szCs w:val="16"/>
              </w:rPr>
              <w:t xml:space="preserve">» на </w:t>
            </w:r>
            <w:proofErr w:type="spellStart"/>
            <w:r w:rsidRPr="00E362BB">
              <w:rPr>
                <w:sz w:val="16"/>
                <w:szCs w:val="16"/>
              </w:rPr>
              <w:t>автоматичній</w:t>
            </w:r>
            <w:proofErr w:type="spellEnd"/>
            <w:r w:rsidRPr="00E362BB">
              <w:rPr>
                <w:sz w:val="16"/>
                <w:szCs w:val="16"/>
              </w:rPr>
              <w:t xml:space="preserve"> </w:t>
            </w:r>
            <w:proofErr w:type="spellStart"/>
            <w:r w:rsidRPr="00E362BB">
              <w:rPr>
                <w:sz w:val="16"/>
                <w:szCs w:val="16"/>
              </w:rPr>
              <w:t>станції</w:t>
            </w:r>
            <w:proofErr w:type="spellEnd"/>
            <w:r w:rsidRPr="00E362BB">
              <w:rPr>
                <w:sz w:val="16"/>
                <w:szCs w:val="16"/>
              </w:rPr>
              <w:t xml:space="preserve"> «</w:t>
            </w:r>
            <w:proofErr w:type="spellStart"/>
            <w:r w:rsidRPr="00E362BB">
              <w:rPr>
                <w:sz w:val="16"/>
                <w:szCs w:val="16"/>
              </w:rPr>
              <w:t>Paint</w:t>
            </w:r>
            <w:proofErr w:type="spellEnd"/>
            <w:r w:rsidRPr="00E362BB">
              <w:rPr>
                <w:sz w:val="16"/>
                <w:szCs w:val="16"/>
              </w:rPr>
              <w:t xml:space="preserve"> </w:t>
            </w:r>
            <w:proofErr w:type="spellStart"/>
            <w:r w:rsidRPr="00E362BB">
              <w:rPr>
                <w:sz w:val="16"/>
                <w:szCs w:val="16"/>
              </w:rPr>
              <w:t>Cell</w:t>
            </w:r>
            <w:proofErr w:type="spellEnd"/>
            <w:r w:rsidRPr="00E362BB">
              <w:rPr>
                <w:sz w:val="16"/>
                <w:szCs w:val="16"/>
              </w:rPr>
              <w:t xml:space="preserve">» (ILSA, </w:t>
            </w:r>
            <w:proofErr w:type="spellStart"/>
            <w:r w:rsidRPr="00E362BB">
              <w:rPr>
                <w:sz w:val="16"/>
                <w:szCs w:val="16"/>
              </w:rPr>
              <w:t>Франція</w:t>
            </w:r>
            <w:proofErr w:type="spellEnd"/>
            <w:r w:rsidRPr="00E362BB">
              <w:rPr>
                <w:sz w:val="16"/>
                <w:szCs w:val="16"/>
              </w:rPr>
              <w:t>) (</w:t>
            </w:r>
            <w:proofErr w:type="spellStart"/>
            <w:r w:rsidRPr="00E362BB">
              <w:rPr>
                <w:sz w:val="16"/>
                <w:szCs w:val="16"/>
              </w:rPr>
              <w:t>запропонувати</w:t>
            </w:r>
            <w:proofErr w:type="spellEnd"/>
            <w:r w:rsidRPr="00E362BB">
              <w:rPr>
                <w:sz w:val="16"/>
                <w:szCs w:val="16"/>
              </w:rPr>
              <w:t xml:space="preserve"> протокол </w:t>
            </w:r>
            <w:proofErr w:type="spellStart"/>
            <w:r w:rsidRPr="00E362BB">
              <w:rPr>
                <w:sz w:val="16"/>
                <w:szCs w:val="16"/>
              </w:rPr>
              <w:t>забарвлення</w:t>
            </w:r>
            <w:proofErr w:type="spellEnd"/>
            <w:r w:rsidRPr="00E362BB">
              <w:rPr>
                <w:sz w:val="16"/>
                <w:szCs w:val="16"/>
              </w:rPr>
              <w:t xml:space="preserve"> по «</w:t>
            </w:r>
            <w:proofErr w:type="spellStart"/>
            <w:r w:rsidRPr="00E362BB">
              <w:rPr>
                <w:sz w:val="16"/>
                <w:szCs w:val="16"/>
              </w:rPr>
              <w:t>Папаніколау</w:t>
            </w:r>
            <w:proofErr w:type="spellEnd"/>
            <w:r w:rsidRPr="00E362BB">
              <w:rPr>
                <w:sz w:val="16"/>
                <w:szCs w:val="16"/>
              </w:rPr>
              <w:t>»)</w:t>
            </w:r>
            <w:r w:rsidRPr="00E362BB">
              <w:rPr>
                <w:sz w:val="16"/>
                <w:szCs w:val="16"/>
              </w:rPr>
              <w:br/>
            </w:r>
            <w:proofErr w:type="spellStart"/>
            <w:r w:rsidRPr="00E362BB">
              <w:rPr>
                <w:sz w:val="16"/>
                <w:szCs w:val="16"/>
              </w:rPr>
              <w:t>Обсяг</w:t>
            </w:r>
            <w:proofErr w:type="spellEnd"/>
            <w:r w:rsidRPr="00E362BB">
              <w:rPr>
                <w:sz w:val="16"/>
                <w:szCs w:val="16"/>
              </w:rPr>
              <w:t xml:space="preserve"> упаковки - не </w:t>
            </w:r>
            <w:proofErr w:type="spellStart"/>
            <w:r w:rsidRPr="00E362BB">
              <w:rPr>
                <w:sz w:val="16"/>
                <w:szCs w:val="16"/>
              </w:rPr>
              <w:t>більше</w:t>
            </w:r>
            <w:proofErr w:type="spellEnd"/>
            <w:r w:rsidRPr="00E362BB">
              <w:rPr>
                <w:sz w:val="16"/>
                <w:szCs w:val="16"/>
              </w:rPr>
              <w:t xml:space="preserve"> </w:t>
            </w:r>
            <w:proofErr w:type="spellStart"/>
            <w:r w:rsidRPr="00E362BB">
              <w:rPr>
                <w:sz w:val="16"/>
                <w:szCs w:val="16"/>
              </w:rPr>
              <w:t>ніж</w:t>
            </w:r>
            <w:proofErr w:type="spellEnd"/>
            <w:r w:rsidRPr="00E362BB">
              <w:rPr>
                <w:sz w:val="16"/>
                <w:szCs w:val="16"/>
              </w:rPr>
              <w:t xml:space="preserve"> 1 л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398C600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6F0E656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</w:p>
        </w:tc>
      </w:tr>
      <w:tr w:rsidR="00E362BB" w:rsidRPr="00E362BB" w14:paraId="747981D3" w14:textId="77777777" w:rsidTr="00811B13">
        <w:trPr>
          <w:trHeight w:val="225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CC48EC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  <w:r w:rsidRPr="00E362B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14:paraId="3A16711B" w14:textId="77777777" w:rsidR="00E362BB" w:rsidRPr="00E362BB" w:rsidRDefault="00E362BB" w:rsidP="00E362B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362BB">
              <w:rPr>
                <w:sz w:val="16"/>
                <w:szCs w:val="16"/>
              </w:rPr>
              <w:t>Розчин</w:t>
            </w:r>
            <w:proofErr w:type="spellEnd"/>
            <w:r w:rsidRPr="00E362B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62BB">
              <w:rPr>
                <w:sz w:val="16"/>
                <w:szCs w:val="16"/>
              </w:rPr>
              <w:t>звичайний</w:t>
            </w:r>
            <w:proofErr w:type="spellEnd"/>
            <w:r w:rsidRPr="00E362BB">
              <w:rPr>
                <w:sz w:val="16"/>
                <w:szCs w:val="16"/>
                <w:lang w:val="en-US"/>
              </w:rPr>
              <w:t xml:space="preserve"> EA50 / EA50 normal solution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FDFDE4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  <w:r w:rsidRPr="00E362BB">
              <w:rPr>
                <w:sz w:val="16"/>
                <w:szCs w:val="16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7001C893" w14:textId="77777777" w:rsidR="00E362BB" w:rsidRPr="00811B13" w:rsidRDefault="00811B13" w:rsidP="00E362BB">
            <w:pPr>
              <w:jc w:val="center"/>
              <w:rPr>
                <w:sz w:val="16"/>
                <w:szCs w:val="16"/>
              </w:rPr>
            </w:pPr>
            <w:r w:rsidRPr="00811B13">
              <w:rPr>
                <w:sz w:val="16"/>
                <w:szCs w:val="16"/>
                <w:lang w:val="uk-UA"/>
              </w:rPr>
              <w:t>у</w:t>
            </w:r>
            <w:r w:rsidRPr="00811B13">
              <w:rPr>
                <w:sz w:val="16"/>
                <w:szCs w:val="16"/>
              </w:rPr>
              <w:t>паков</w:t>
            </w:r>
            <w:r w:rsidRPr="00811B13"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14:paraId="0F78AAD0" w14:textId="77777777" w:rsidR="00E362BB" w:rsidRPr="00E362BB" w:rsidRDefault="00E362BB" w:rsidP="00E362BB">
            <w:pPr>
              <w:jc w:val="center"/>
              <w:rPr>
                <w:sz w:val="18"/>
                <w:szCs w:val="18"/>
                <w:lang w:val="uk-UA"/>
              </w:rPr>
            </w:pPr>
            <w:r w:rsidRPr="00E362BB">
              <w:rPr>
                <w:sz w:val="18"/>
                <w:szCs w:val="18"/>
                <w:lang w:val="uk-UA"/>
              </w:rPr>
              <w:t>Фарба «</w:t>
            </w:r>
            <w:proofErr w:type="spellStart"/>
            <w:r w:rsidRPr="00E362BB">
              <w:rPr>
                <w:sz w:val="18"/>
                <w:szCs w:val="18"/>
                <w:lang w:val="uk-UA"/>
              </w:rPr>
              <w:t>Orange</w:t>
            </w:r>
            <w:proofErr w:type="spellEnd"/>
            <w:r w:rsidRPr="00E362BB">
              <w:rPr>
                <w:sz w:val="18"/>
                <w:szCs w:val="18"/>
                <w:lang w:val="uk-UA"/>
              </w:rPr>
              <w:t xml:space="preserve"> G» призначена для фарбування по протоколу «</w:t>
            </w:r>
            <w:proofErr w:type="spellStart"/>
            <w:r w:rsidRPr="00E362BB">
              <w:rPr>
                <w:sz w:val="18"/>
                <w:szCs w:val="18"/>
                <w:lang w:val="uk-UA"/>
              </w:rPr>
              <w:t>Папаніколау</w:t>
            </w:r>
            <w:proofErr w:type="spellEnd"/>
            <w:r w:rsidRPr="00E362BB">
              <w:rPr>
                <w:sz w:val="18"/>
                <w:szCs w:val="18"/>
                <w:lang w:val="uk-UA"/>
              </w:rPr>
              <w:t>». Запропонована фарба повинна бути адаптована для забарвлення по протоколу «</w:t>
            </w:r>
            <w:proofErr w:type="spellStart"/>
            <w:r w:rsidRPr="00E362BB">
              <w:rPr>
                <w:sz w:val="18"/>
                <w:szCs w:val="18"/>
                <w:lang w:val="uk-UA"/>
              </w:rPr>
              <w:t>Папаніколау</w:t>
            </w:r>
            <w:proofErr w:type="spellEnd"/>
            <w:r w:rsidRPr="00E362BB">
              <w:rPr>
                <w:sz w:val="18"/>
                <w:szCs w:val="18"/>
                <w:lang w:val="uk-UA"/>
              </w:rPr>
              <w:t>» на автоматичній станції «</w:t>
            </w:r>
            <w:proofErr w:type="spellStart"/>
            <w:r w:rsidRPr="00E362BB">
              <w:rPr>
                <w:sz w:val="18"/>
                <w:szCs w:val="18"/>
                <w:lang w:val="uk-UA"/>
              </w:rPr>
              <w:t>Paint</w:t>
            </w:r>
            <w:proofErr w:type="spellEnd"/>
            <w:r w:rsidRPr="00E362B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362BB">
              <w:rPr>
                <w:sz w:val="18"/>
                <w:szCs w:val="18"/>
                <w:lang w:val="uk-UA"/>
              </w:rPr>
              <w:t>Cell</w:t>
            </w:r>
            <w:proofErr w:type="spellEnd"/>
            <w:r w:rsidRPr="00E362BB">
              <w:rPr>
                <w:sz w:val="18"/>
                <w:szCs w:val="18"/>
                <w:lang w:val="uk-UA"/>
              </w:rPr>
              <w:t>» (ILSA, Франція) (запропонувати протокол забарвлення по «</w:t>
            </w:r>
            <w:proofErr w:type="spellStart"/>
            <w:r w:rsidRPr="00E362BB">
              <w:rPr>
                <w:sz w:val="18"/>
                <w:szCs w:val="18"/>
                <w:lang w:val="uk-UA"/>
              </w:rPr>
              <w:t>Папаніколау</w:t>
            </w:r>
            <w:proofErr w:type="spellEnd"/>
            <w:r w:rsidRPr="00E362BB">
              <w:rPr>
                <w:sz w:val="18"/>
                <w:szCs w:val="18"/>
                <w:lang w:val="uk-UA"/>
              </w:rPr>
              <w:t>»)</w:t>
            </w:r>
            <w:r w:rsidRPr="00E362BB">
              <w:rPr>
                <w:sz w:val="18"/>
                <w:szCs w:val="18"/>
                <w:lang w:val="uk-UA"/>
              </w:rPr>
              <w:br/>
              <w:t>Обсяг упаковки - не більше ніж 1 л.</w:t>
            </w:r>
          </w:p>
          <w:p w14:paraId="233DA756" w14:textId="77777777" w:rsidR="00E362BB" w:rsidRPr="00E362BB" w:rsidRDefault="00E362BB" w:rsidP="00E362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F494372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8AD1E8B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</w:p>
        </w:tc>
      </w:tr>
      <w:tr w:rsidR="00E362BB" w:rsidRPr="00E362BB" w14:paraId="47F0584D" w14:textId="77777777" w:rsidTr="00811B13">
        <w:trPr>
          <w:trHeight w:val="225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7678DB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  <w:r w:rsidRPr="00E362BB">
              <w:rPr>
                <w:sz w:val="16"/>
                <w:szCs w:val="16"/>
              </w:rPr>
              <w:t>4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14:paraId="0007577C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  <w:proofErr w:type="spellStart"/>
            <w:r w:rsidRPr="00E362BB">
              <w:rPr>
                <w:sz w:val="16"/>
                <w:szCs w:val="16"/>
              </w:rPr>
              <w:t>Розчин</w:t>
            </w:r>
            <w:proofErr w:type="spellEnd"/>
            <w:r w:rsidRPr="00E362BB">
              <w:rPr>
                <w:sz w:val="16"/>
                <w:szCs w:val="16"/>
              </w:rPr>
              <w:t xml:space="preserve"> </w:t>
            </w:r>
            <w:proofErr w:type="spellStart"/>
            <w:r w:rsidRPr="00E362BB">
              <w:rPr>
                <w:sz w:val="16"/>
                <w:szCs w:val="16"/>
              </w:rPr>
              <w:t>цитологічний</w:t>
            </w:r>
            <w:proofErr w:type="spellEnd"/>
            <w:r w:rsidRPr="00E362BB">
              <w:rPr>
                <w:sz w:val="16"/>
                <w:szCs w:val="16"/>
              </w:rPr>
              <w:t xml:space="preserve"> </w:t>
            </w:r>
            <w:proofErr w:type="spellStart"/>
            <w:r w:rsidRPr="00E362BB">
              <w:rPr>
                <w:sz w:val="16"/>
                <w:szCs w:val="16"/>
              </w:rPr>
              <w:t>фіксуючий</w:t>
            </w:r>
            <w:proofErr w:type="spellEnd"/>
            <w:r w:rsidRPr="00E362BB">
              <w:rPr>
                <w:sz w:val="16"/>
                <w:szCs w:val="16"/>
              </w:rPr>
              <w:t xml:space="preserve"> СІТ-АЛЛ / CYT-ALL, 1 х 25шт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B3CF25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  <w:r w:rsidRPr="00E362BB">
              <w:rPr>
                <w:sz w:val="16"/>
                <w:szCs w:val="16"/>
              </w:rPr>
              <w:t>200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711E8087" w14:textId="77777777" w:rsidR="00E362BB" w:rsidRPr="00811B13" w:rsidRDefault="00811B13" w:rsidP="00E362BB">
            <w:pPr>
              <w:jc w:val="center"/>
              <w:rPr>
                <w:sz w:val="16"/>
                <w:szCs w:val="16"/>
              </w:rPr>
            </w:pPr>
            <w:r w:rsidRPr="00811B13">
              <w:rPr>
                <w:sz w:val="16"/>
                <w:szCs w:val="16"/>
                <w:lang w:val="uk-UA"/>
              </w:rPr>
              <w:t>у</w:t>
            </w:r>
            <w:r w:rsidRPr="00811B13">
              <w:rPr>
                <w:sz w:val="16"/>
                <w:szCs w:val="16"/>
              </w:rPr>
              <w:t>паков</w:t>
            </w:r>
            <w:r w:rsidRPr="00811B13">
              <w:rPr>
                <w:sz w:val="16"/>
                <w:szCs w:val="16"/>
                <w:lang w:val="uk-UA"/>
              </w:rPr>
              <w:t>ка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14:paraId="3A35AA76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  <w:r w:rsidRPr="00E362BB">
              <w:rPr>
                <w:sz w:val="18"/>
                <w:szCs w:val="18"/>
                <w:lang w:val="uk-UA"/>
              </w:rPr>
              <w:t xml:space="preserve">Фіксуючий розчин повинен дозволяти працювати як з гінекологічними </w:t>
            </w:r>
            <w:proofErr w:type="spellStart"/>
            <w:r w:rsidRPr="00E362BB">
              <w:rPr>
                <w:sz w:val="18"/>
                <w:szCs w:val="18"/>
                <w:lang w:val="uk-UA"/>
              </w:rPr>
              <w:t>матерілами</w:t>
            </w:r>
            <w:proofErr w:type="spellEnd"/>
            <w:r w:rsidRPr="00E362BB">
              <w:rPr>
                <w:sz w:val="18"/>
                <w:szCs w:val="18"/>
                <w:lang w:val="uk-UA"/>
              </w:rPr>
              <w:t xml:space="preserve"> </w:t>
            </w:r>
            <w:r w:rsidRPr="00E362BB">
              <w:rPr>
                <w:sz w:val="18"/>
                <w:szCs w:val="18"/>
                <w:lang w:val="uk-UA"/>
              </w:rPr>
              <w:br/>
              <w:t>(мазок з шийки матки), так і негінекологічними (сеча, матеріал біопсії пункції, мокрота).</w:t>
            </w:r>
            <w:r w:rsidRPr="00E362BB">
              <w:rPr>
                <w:sz w:val="18"/>
                <w:szCs w:val="18"/>
                <w:lang w:val="uk-UA"/>
              </w:rPr>
              <w:br/>
            </w:r>
            <w:proofErr w:type="spellStart"/>
            <w:r w:rsidRPr="00E362BB">
              <w:rPr>
                <w:sz w:val="18"/>
                <w:szCs w:val="18"/>
              </w:rPr>
              <w:t>Обсяг</w:t>
            </w:r>
            <w:proofErr w:type="spellEnd"/>
            <w:r w:rsidRPr="00E362BB">
              <w:rPr>
                <w:sz w:val="18"/>
                <w:szCs w:val="18"/>
              </w:rPr>
              <w:t xml:space="preserve"> упаковки - не </w:t>
            </w:r>
            <w:proofErr w:type="spellStart"/>
            <w:r w:rsidRPr="00E362BB">
              <w:rPr>
                <w:sz w:val="18"/>
                <w:szCs w:val="18"/>
              </w:rPr>
              <w:t>менше</w:t>
            </w:r>
            <w:proofErr w:type="spellEnd"/>
            <w:r w:rsidRPr="00E362BB">
              <w:rPr>
                <w:sz w:val="18"/>
                <w:szCs w:val="18"/>
              </w:rPr>
              <w:t xml:space="preserve"> 25 </w:t>
            </w:r>
            <w:proofErr w:type="spellStart"/>
            <w:r w:rsidRPr="00E362BB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7D94E9A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6A94CB4" w14:textId="77777777" w:rsidR="00E362BB" w:rsidRPr="00E362BB" w:rsidRDefault="00E362BB" w:rsidP="00E362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A7863AD" w14:textId="77777777" w:rsidR="00CB5168" w:rsidRDefault="00CB5168" w:rsidP="00CB5168">
      <w:pPr>
        <w:contextualSpacing/>
        <w:jc w:val="both"/>
        <w:rPr>
          <w:color w:val="000000"/>
          <w:lang w:eastAsia="ar-SA"/>
        </w:rPr>
      </w:pPr>
    </w:p>
    <w:p w14:paraId="2794DEA8" w14:textId="77777777" w:rsidR="00E362BB" w:rsidRDefault="00E362BB" w:rsidP="00CB5168">
      <w:pPr>
        <w:contextualSpacing/>
        <w:jc w:val="both"/>
        <w:rPr>
          <w:color w:val="000000"/>
          <w:lang w:eastAsia="ar-SA"/>
        </w:rPr>
      </w:pPr>
    </w:p>
    <w:p w14:paraId="152EA1B5" w14:textId="77777777" w:rsidR="00E362BB" w:rsidRDefault="00E362BB" w:rsidP="00CB5168">
      <w:pPr>
        <w:contextualSpacing/>
        <w:jc w:val="both"/>
        <w:rPr>
          <w:color w:val="000000"/>
          <w:lang w:eastAsia="ar-SA"/>
        </w:rPr>
      </w:pPr>
    </w:p>
    <w:p w14:paraId="38FE6BF4" w14:textId="77777777" w:rsidR="00E362BB" w:rsidRDefault="00E362BB" w:rsidP="00C14995">
      <w:pPr>
        <w:contextualSpacing/>
        <w:jc w:val="both"/>
        <w:rPr>
          <w:color w:val="000000"/>
          <w:lang w:eastAsia="ar-SA"/>
        </w:rPr>
      </w:pPr>
    </w:p>
    <w:p w14:paraId="13804942" w14:textId="77777777" w:rsidR="00C14995" w:rsidRPr="00CB08A9" w:rsidRDefault="00C14995" w:rsidP="00C14995">
      <w:pPr>
        <w:suppressAutoHyphens/>
        <w:contextualSpacing/>
        <w:jc w:val="both"/>
        <w:rPr>
          <w:b/>
          <w:i/>
          <w:sz w:val="22"/>
          <w:szCs w:val="22"/>
          <w:lang w:val="uk-UA" w:eastAsia="ar-SA"/>
        </w:rPr>
      </w:pPr>
      <w:r w:rsidRPr="00CB08A9">
        <w:rPr>
          <w:b/>
          <w:bCs/>
          <w:sz w:val="22"/>
          <w:szCs w:val="22"/>
          <w:lang w:val="uk-UA" w:eastAsia="ar-SA"/>
        </w:rPr>
        <w:t>*</w:t>
      </w:r>
      <w:r w:rsidRPr="00CB08A9">
        <w:rPr>
          <w:b/>
          <w:bCs/>
          <w:i/>
          <w:sz w:val="22"/>
          <w:szCs w:val="22"/>
          <w:u w:val="single"/>
          <w:lang w:val="uk-UA" w:eastAsia="ar-SA"/>
        </w:rPr>
        <w:t xml:space="preserve"> Примітка: </w:t>
      </w:r>
      <w:r w:rsidRPr="00CB08A9">
        <w:rPr>
          <w:b/>
          <w:bCs/>
          <w:i/>
          <w:iCs/>
          <w:sz w:val="22"/>
          <w:szCs w:val="22"/>
          <w:lang w:val="uk-UA" w:eastAsia="ar-SA"/>
        </w:rPr>
        <w:t xml:space="preserve">у разі, коли в описі предмета закупівлі </w:t>
      </w:r>
      <w:r w:rsidRPr="00CB08A9">
        <w:rPr>
          <w:b/>
          <w:i/>
          <w:sz w:val="22"/>
          <w:szCs w:val="22"/>
          <w:lang w:val="uk-UA" w:eastAsia="ar-S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слід читати як "або еквівалент".</w:t>
      </w:r>
    </w:p>
    <w:p w14:paraId="3B8725BE" w14:textId="77777777" w:rsidR="00C14995" w:rsidRPr="003618F9" w:rsidRDefault="00C14995" w:rsidP="00C14995">
      <w:pPr>
        <w:suppressAutoHyphens/>
        <w:jc w:val="both"/>
        <w:rPr>
          <w:b/>
          <w:sz w:val="36"/>
          <w:szCs w:val="36"/>
          <w:u w:val="single"/>
          <w:lang w:val="uk-UA" w:eastAsia="ar-SA"/>
        </w:rPr>
      </w:pPr>
      <w:r w:rsidRPr="00CB08A9">
        <w:rPr>
          <w:b/>
          <w:bCs/>
          <w:i/>
          <w:sz w:val="22"/>
          <w:szCs w:val="22"/>
          <w:lang w:val="uk-UA" w:eastAsia="ar-SA"/>
        </w:rPr>
        <w:t>*</w:t>
      </w:r>
      <w:r w:rsidRPr="00CB08A9">
        <w:rPr>
          <w:b/>
          <w:bCs/>
          <w:i/>
          <w:sz w:val="22"/>
          <w:szCs w:val="22"/>
          <w:u w:val="single"/>
          <w:lang w:val="uk-UA" w:eastAsia="ar-SA"/>
        </w:rPr>
        <w:t xml:space="preserve"> Примітка:</w:t>
      </w:r>
      <w:r w:rsidRPr="00CB08A9">
        <w:rPr>
          <w:b/>
          <w:i/>
          <w:sz w:val="22"/>
          <w:szCs w:val="22"/>
          <w:lang w:val="uk-UA" w:eastAsia="ar-SA"/>
        </w:rPr>
        <w:t xml:space="preserve">  Якщо учасник пропонує інший товар (еквівалент) ніж передбачений цією тендерною документацією, він додатково повинен надати у складі пропозиції детальний опис товару, відомості про виробника та документальне підтвердження повної відповідності технічних характеристик запропонованого товару</w:t>
      </w:r>
      <w:r w:rsidRPr="00CB08A9">
        <w:rPr>
          <w:b/>
          <w:i/>
          <w:sz w:val="20"/>
          <w:szCs w:val="20"/>
          <w:lang w:val="uk-UA" w:eastAsia="ar-SA"/>
        </w:rPr>
        <w:t>.</w:t>
      </w:r>
    </w:p>
    <w:p w14:paraId="4ABFCFC7" w14:textId="77777777" w:rsidR="00E362BB" w:rsidRPr="00C14995" w:rsidRDefault="00E362BB" w:rsidP="00CB5168">
      <w:pPr>
        <w:contextualSpacing/>
        <w:jc w:val="both"/>
        <w:rPr>
          <w:color w:val="000000"/>
          <w:lang w:val="uk-UA" w:eastAsia="ar-SA"/>
        </w:rPr>
      </w:pPr>
    </w:p>
    <w:p w14:paraId="3B92D265" w14:textId="77777777" w:rsidR="007D5300" w:rsidRPr="00CB5168" w:rsidRDefault="007D5300">
      <w:pPr>
        <w:rPr>
          <w:lang w:val="uk-UA"/>
        </w:rPr>
      </w:pPr>
    </w:p>
    <w:sectPr w:rsidR="007D5300" w:rsidRPr="00CB5168" w:rsidSect="00811B1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309"/>
    <w:multiLevelType w:val="hybridMultilevel"/>
    <w:tmpl w:val="F8B4CEA2"/>
    <w:lvl w:ilvl="0" w:tplc="D8444FC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27"/>
    <w:rsid w:val="00175727"/>
    <w:rsid w:val="00221E49"/>
    <w:rsid w:val="00315B37"/>
    <w:rsid w:val="007D5300"/>
    <w:rsid w:val="00811B13"/>
    <w:rsid w:val="00C14995"/>
    <w:rsid w:val="00C70581"/>
    <w:rsid w:val="00CB08A9"/>
    <w:rsid w:val="00CB5168"/>
    <w:rsid w:val="00E3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8727"/>
  <w15:chartTrackingRefBased/>
  <w15:docId w15:val="{A16DCC4C-AFAA-4785-9C87-1312C557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n.at.ua/load/pro_povitrja/20-1-0-9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bn.at.ua/load/19-1-0-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n.at.ua/load/19-1-0-273" TargetMode="External"/><Relationship Id="rId5" Type="http://schemas.openxmlformats.org/officeDocument/2006/relationships/hyperlink" Target="http://dbn.at.ua/load/19-1-0-2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699</Words>
  <Characters>3987</Characters>
  <Application>Microsoft Office Word</Application>
  <DocSecurity>0</DocSecurity>
  <Lines>33</Lines>
  <Paragraphs>9</Paragraphs>
  <ScaleCrop>false</ScaleCrop>
  <Company>Labvita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 Pohrebna</dc:creator>
  <cp:keywords/>
  <dc:description/>
  <cp:lastModifiedBy>kostik</cp:lastModifiedBy>
  <cp:revision>10</cp:revision>
  <dcterms:created xsi:type="dcterms:W3CDTF">2023-03-10T13:18:00Z</dcterms:created>
  <dcterms:modified xsi:type="dcterms:W3CDTF">2023-03-20T16:53:00Z</dcterms:modified>
</cp:coreProperties>
</file>