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521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2</w:t>
      </w:r>
    </w:p>
    <w:p>
      <w:pPr>
        <w:ind w:left="6521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>
      <w:pPr>
        <w:jc w:val="center"/>
        <w:rPr>
          <w:rFonts w:ascii="Times New Roman" w:hAnsi="Times New Roman" w:cs="Times New Roman"/>
          <w:b/>
          <w:lang w:val="uk-UA"/>
        </w:rPr>
      </w:pPr>
    </w:p>
    <w:p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</w:p>
    <w:p>
      <w:pPr>
        <w:keepNext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Капуста</w:t>
      </w:r>
      <w:r>
        <w:rPr>
          <w:rFonts w:hint="default" w:ascii="Times New Roman" w:hAnsi="Times New Roman" w:cs="Times New Roman"/>
          <w:b/>
          <w:bCs/>
          <w:lang w:val="uk-UA"/>
        </w:rPr>
        <w:t xml:space="preserve">, за </w:t>
      </w:r>
      <w:r>
        <w:rPr>
          <w:rFonts w:ascii="Times New Roman" w:hAnsi="Times New Roman" w:cs="Times New Roman"/>
          <w:b/>
          <w:bCs/>
          <w:lang w:val="uk-UA"/>
        </w:rPr>
        <w:t>кодом ДК 021:2015:  03220000-9 «Овочі, фрукти та горіхи»</w:t>
      </w:r>
    </w:p>
    <w:p>
      <w:pPr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5"/>
        <w:tblW w:w="47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467"/>
        <w:gridCol w:w="4718"/>
        <w:gridCol w:w="1023"/>
        <w:gridCol w:w="1347"/>
      </w:tblGrid>
      <w:tr>
        <w:trPr>
          <w:jc w:val="center"/>
        </w:trPr>
        <w:tc>
          <w:tcPr>
            <w:tcW w:w="272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  <w:t>№</w:t>
            </w:r>
          </w:p>
        </w:tc>
        <w:tc>
          <w:tcPr>
            <w:tcW w:w="1220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  <w:t>Найменування</w:t>
            </w:r>
          </w:p>
        </w:tc>
        <w:tc>
          <w:tcPr>
            <w:tcW w:w="2333" w:type="pct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  <w:t>Технічна характеристика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  <w:t>Од. виміру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i w:val="0"/>
                <w:lang w:val="uk-UA"/>
              </w:rPr>
              <w:t>Кількість</w:t>
            </w:r>
          </w:p>
        </w:tc>
      </w:tr>
      <w:tr>
        <w:trPr>
          <w:jc w:val="center"/>
        </w:trPr>
        <w:tc>
          <w:tcPr>
            <w:tcW w:w="272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color w:val="000000"/>
                <w:sz w:val="22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220" w:type="pct"/>
            <w:vAlign w:val="center"/>
          </w:tcPr>
          <w:p>
            <w:pPr>
              <w:tabs>
                <w:tab w:val="left" w:pos="1102"/>
              </w:tabs>
              <w:jc w:val="center"/>
              <w:rPr>
                <w:rFonts w:hint="default" w:ascii="Times New Roman Regular" w:hAnsi="Times New Roman Regular" w:cs="Times New Roman Regular"/>
                <w:b/>
                <w:bCs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lang w:val="uk-UA"/>
              </w:rPr>
              <w:t>Капуста</w:t>
            </w:r>
          </w:p>
          <w:p>
            <w:pPr>
              <w:tabs>
                <w:tab w:val="left" w:pos="1102"/>
              </w:tabs>
              <w:jc w:val="center"/>
              <w:rPr>
                <w:rFonts w:hint="default" w:ascii="Times New Roman Regular" w:hAnsi="Times New Roman Regular" w:cs="Times New Roman Regular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b/>
                <w:color w:val="000000"/>
                <w:sz w:val="22"/>
                <w:szCs w:val="22"/>
                <w:lang w:val="uk-UA"/>
              </w:rPr>
              <w:t>03221410-3 - Капуста качанна</w:t>
            </w:r>
          </w:p>
        </w:tc>
        <w:tc>
          <w:tcPr>
            <w:tcW w:w="2333" w:type="pct"/>
          </w:tcPr>
          <w:p>
            <w:pPr>
              <w:jc w:val="both"/>
              <w:rPr>
                <w:rFonts w:hint="default" w:ascii="Times New Roman Regular" w:hAnsi="Times New Roman Regular" w:cs="Times New Roman Regular"/>
                <w:color w:val="00000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2"/>
                <w:lang w:val="uk-UA"/>
              </w:rPr>
              <w:t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запахів. Товар повинен бути упакований у сітки. На кожній упаковці товару має бути етикетка з інформацією на українській мові (назва продукту, дата виготовлення, умови та термін зберігання).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color w:val="000000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lang w:val="uk-UA"/>
              </w:rPr>
              <w:t>кг.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color w:val="000000"/>
                <w:sz w:val="22"/>
                <w:lang w:val="uk-UA"/>
              </w:rPr>
            </w:pPr>
            <w:r>
              <w:rPr>
                <w:rFonts w:hint="default" w:ascii="Times New Roman Regular" w:hAnsi="Times New Roman Regular" w:cs="Times New Roman Regular"/>
                <w:color w:val="000000"/>
                <w:sz w:val="22"/>
                <w:lang w:val="uk-UA"/>
              </w:rPr>
              <w:t>1800</w:t>
            </w:r>
          </w:p>
        </w:tc>
      </w:tr>
    </w:tbl>
    <w:p>
      <w:pPr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spacing w:line="264" w:lineRule="auto"/>
        <w:jc w:val="both"/>
        <w:rPr>
          <w:b/>
          <w:bCs/>
          <w:i/>
          <w:u w:val="single"/>
          <w:lang w:val="uk-UA"/>
        </w:rPr>
      </w:pPr>
      <w:r>
        <w:rPr>
          <w:b/>
          <w:bCs/>
          <w:i/>
          <w:u w:val="single"/>
          <w:lang w:val="uk-UA"/>
        </w:rPr>
        <w:t>Загальні вимоги: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1.  Строки постачання: до 31.12.202</w:t>
      </w:r>
      <w:r>
        <w:rPr>
          <w:rFonts w:hint="default" w:ascii="Times New Roman" w:hAnsi="Times New Roman" w:cs="Times New Roman"/>
          <w:lang w:val="uk-UA" w:eastAsia="en-US"/>
        </w:rPr>
        <w:t>4</w:t>
      </w:r>
      <w:r>
        <w:rPr>
          <w:rFonts w:ascii="Times New Roman" w:hAnsi="Times New Roman" w:cs="Times New Roman"/>
          <w:lang w:val="uk-UA" w:eastAsia="en-US"/>
        </w:rPr>
        <w:t xml:space="preserve"> року. Постачання товару здійснюється у строк до одного робочого дня з дня отримання заявки від замовника засобами: за допомогою факсу, електронної пошти або вручаються особисто. Доставка товару здійснюється не рідше 2 (двох) разів на тиждень (окрім вихідних та святкових днів).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 2. Умови поставки: 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- 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товару;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3. При виявленні Замовником дефектів чи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4. Товари, які наведені в переліку, повинні мати відповідну нормативну документацію, яка обов’язково додається при поставці товару. 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5. 6. У разі, якщо країною походження товару є Україна, у складі тендерної пропозиції учасники надають: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•</w:t>
      </w:r>
      <w:r>
        <w:rPr>
          <w:rFonts w:ascii="Times New Roman" w:hAnsi="Times New Roman" w:cs="Times New Roman"/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>копію діючого сертифікату ДСТУ ISO 9001:2015 «Система управління якістю»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•</w:t>
      </w:r>
      <w:r>
        <w:rPr>
          <w:rFonts w:ascii="Times New Roman" w:hAnsi="Times New Roman" w:cs="Times New Roman"/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 xml:space="preserve">копію діючого сертифікату ISO 14001:2015 «Система екологічного управління. Вимоги та настанови щодо застосування»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 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•</w:t>
      </w:r>
      <w:r>
        <w:rPr>
          <w:rFonts w:ascii="Times New Roman" w:hAnsi="Times New Roman" w:cs="Times New Roman"/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 xml:space="preserve">копію діючого сертифікату ISO 22000:2018 або 22000:2019* «Система управління безпечністю харчових продуктів»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 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•</w:t>
      </w:r>
      <w:r>
        <w:rPr>
          <w:rFonts w:ascii="Times New Roman" w:hAnsi="Times New Roman" w:cs="Times New Roman"/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>копію діючого сертифікату ISO 27001:2015 «Інформаційні технології. Методи захисту. Системи управління інформаційною безпекою»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</w:t>
      </w:r>
    </w:p>
    <w:p>
      <w:pPr>
        <w:spacing w:line="264" w:lineRule="auto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>•</w:t>
      </w:r>
      <w:r>
        <w:rPr>
          <w:rFonts w:ascii="Times New Roman" w:hAnsi="Times New Roman" w:cs="Times New Roman"/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>копію діючого сертифікату ISO 37001:2018 «Системи управління протидії корупції» стосовно вирощування, зберігання та транспортування овочів, коренеплодів; оптової торгівлі фруктами й овочами, який виданий Виробнику та який чинний протягом усього строку поставки товару;</w:t>
      </w:r>
    </w:p>
    <w:p>
      <w:pPr>
        <w:spacing w:line="264" w:lineRule="auto"/>
        <w:jc w:val="both"/>
        <w:rPr>
          <w:b/>
          <w:lang w:val="uk-UA" w:eastAsia="ar-SA"/>
        </w:rPr>
      </w:pPr>
      <w:r>
        <w:rPr>
          <w:rFonts w:ascii="Times New Roman" w:hAnsi="Times New Roman" w:cs="Times New Roman"/>
          <w:lang w:val="uk-UA" w:eastAsia="en-US"/>
        </w:rPr>
        <w:t>•</w:t>
      </w:r>
      <w:r>
        <w:rPr>
          <w:rFonts w:ascii="Times New Roman" w:hAnsi="Times New Roman" w:cs="Times New Roman"/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>Акт Держпродспоживслужби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продукти, з зазначенням ступеня ризику, що виданий виробнику товару та який складено у 2022 або 2023 році.</w:t>
      </w:r>
    </w:p>
    <w:p>
      <w:pPr>
        <w:spacing w:line="264" w:lineRule="auto"/>
        <w:jc w:val="both"/>
        <w:rPr>
          <w:b/>
          <w:bCs/>
          <w:i/>
          <w:sz w:val="20"/>
          <w:szCs w:val="20"/>
          <w:u w:val="single"/>
          <w:lang w:val="uk-UA"/>
        </w:rPr>
      </w:pPr>
      <w:bookmarkStart w:id="0" w:name="_GoBack"/>
      <w:bookmarkEnd w:id="0"/>
    </w:p>
    <w:p>
      <w:pPr>
        <w:spacing w:line="264" w:lineRule="auto"/>
        <w:jc w:val="both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u w:val="single"/>
          <w:lang w:val="uk-UA"/>
        </w:rPr>
        <w:t>Примітка:</w:t>
      </w:r>
    </w:p>
    <w:p>
      <w:pPr>
        <w:spacing w:line="264" w:lineRule="auto"/>
        <w:jc w:val="both"/>
        <w:rPr>
          <w:rFonts w:cs="Courier New"/>
          <w:b/>
          <w:i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у разі, коли в описі предмета закупівлі </w:t>
      </w:r>
      <w:r>
        <w:rPr>
          <w:rFonts w:cs="Courier New"/>
          <w:b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>
      <w:pPr>
        <w:keepNext/>
        <w:jc w:val="both"/>
        <w:rPr>
          <w:rFonts w:ascii="Times New Roman" w:hAnsi="Times New Roman" w:cs="Times New Roman"/>
          <w:b/>
          <w:lang w:val="uk-UA"/>
        </w:rPr>
      </w:pPr>
    </w:p>
    <w:sectPr>
      <w:pgSz w:w="11906" w:h="16838"/>
      <w:pgMar w:top="568" w:right="850" w:bottom="1134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5D6D4A"/>
    <w:multiLevelType w:val="singleLevel"/>
    <w:tmpl w:val="095D6D4A"/>
    <w:lvl w:ilvl="0" w:tentative="0">
      <w:start w:val="1"/>
      <w:numFmt w:val="decimal"/>
      <w:pStyle w:val="2"/>
      <w:lvlText w:val="1.1.%1."/>
      <w:legacy w:legacy="1" w:legacySpace="0" w:legacyIndent="581"/>
      <w:lvlJc w:val="left"/>
      <w:rPr>
        <w:rFonts w:hint="default" w:ascii="Times New Roman" w:hAnsi="Times New Roman" w:cs="Times New Roman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24E"/>
    <w:rsid w:val="00140F96"/>
    <w:rsid w:val="00154485"/>
    <w:rsid w:val="001944D9"/>
    <w:rsid w:val="001F6F06"/>
    <w:rsid w:val="00230096"/>
    <w:rsid w:val="00251E48"/>
    <w:rsid w:val="002525DE"/>
    <w:rsid w:val="002607B3"/>
    <w:rsid w:val="00284616"/>
    <w:rsid w:val="00296BBF"/>
    <w:rsid w:val="003075F6"/>
    <w:rsid w:val="003224BA"/>
    <w:rsid w:val="00357CA2"/>
    <w:rsid w:val="00460020"/>
    <w:rsid w:val="00655510"/>
    <w:rsid w:val="006813A5"/>
    <w:rsid w:val="006A45DB"/>
    <w:rsid w:val="006A5112"/>
    <w:rsid w:val="006B0DB1"/>
    <w:rsid w:val="006C34DC"/>
    <w:rsid w:val="006F4B27"/>
    <w:rsid w:val="00752A48"/>
    <w:rsid w:val="00754380"/>
    <w:rsid w:val="00934C13"/>
    <w:rsid w:val="009378CE"/>
    <w:rsid w:val="009C524E"/>
    <w:rsid w:val="009F3488"/>
    <w:rsid w:val="00A226E5"/>
    <w:rsid w:val="00A246FE"/>
    <w:rsid w:val="00AA0D43"/>
    <w:rsid w:val="00AD5A4D"/>
    <w:rsid w:val="00BF624E"/>
    <w:rsid w:val="00C4265C"/>
    <w:rsid w:val="00C4288C"/>
    <w:rsid w:val="00CC0F20"/>
    <w:rsid w:val="00CC7542"/>
    <w:rsid w:val="00D26FC2"/>
    <w:rsid w:val="00D518E1"/>
    <w:rsid w:val="00D74ED1"/>
    <w:rsid w:val="00DD7823"/>
    <w:rsid w:val="00E34189"/>
    <w:rsid w:val="00E47F1D"/>
    <w:rsid w:val="00EC031C"/>
    <w:rsid w:val="00F220D2"/>
    <w:rsid w:val="00F837D5"/>
    <w:rsid w:val="00FB44C4"/>
    <w:rsid w:val="3FF748C7"/>
    <w:rsid w:val="77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 CYR" w:hAnsi="Times New Roman CYR" w:eastAsia="Times New Roman" w:cs="Times New Roman CYR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widowControl/>
      <w:numPr>
        <w:ilvl w:val="0"/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3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6091" w:themeColor="accent1" w:themeShade="B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link w:val="17"/>
    <w:unhideWhenUsed/>
    <w:qFormat/>
    <w:uiPriority w:val="99"/>
    <w:pPr>
      <w:widowControl/>
      <w:autoSpaceDE/>
      <w:spacing w:before="280" w:after="280"/>
    </w:pPr>
    <w:rPr>
      <w:rFonts w:ascii="Times New Roman" w:hAnsi="Times New Roman" w:cs="Times New Roman"/>
      <w:lang w:val="zh-CN"/>
    </w:rPr>
  </w:style>
  <w:style w:type="paragraph" w:styleId="8">
    <w:name w:val="Subtitle"/>
    <w:basedOn w:val="1"/>
    <w:next w:val="1"/>
    <w:link w:val="12"/>
    <w:qFormat/>
    <w:uiPriority w:val="11"/>
    <w:pPr>
      <w:suppressAutoHyphens w:val="0"/>
      <w:autoSpaceDN w:val="0"/>
      <w:adjustRightInd w:val="0"/>
    </w:pPr>
    <w:rPr>
      <w:rFonts w:asciiTheme="majorHAnsi" w:hAnsiTheme="majorHAnsi" w:eastAsiaTheme="majorEastAsia" w:cstheme="majorBidi"/>
      <w:i/>
      <w:iCs/>
      <w:color w:val="4F81BD" w:themeColor="accent1"/>
      <w:spacing w:val="15"/>
      <w:lang w:eastAsia="ru-RU"/>
    </w:rPr>
  </w:style>
  <w:style w:type="paragraph" w:styleId="9">
    <w:name w:val="Title"/>
    <w:basedOn w:val="1"/>
    <w:next w:val="1"/>
    <w:link w:val="11"/>
    <w:qFormat/>
    <w:uiPriority w:val="10"/>
    <w:pPr>
      <w:pBdr>
        <w:bottom w:val="single" w:color="4F81BD" w:themeColor="accent1" w:sz="8" w:space="4"/>
      </w:pBdr>
      <w:suppressAutoHyphens w:val="0"/>
      <w:autoSpaceDN w:val="0"/>
      <w:adjustRightInd w:val="0"/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2"/>
    <w:uiPriority w:val="0"/>
    <w:rPr>
      <w:rFonts w:ascii="Helvetica" w:hAnsi="Helvetica" w:cs="Helvetica"/>
      <w:b/>
      <w:bCs/>
      <w:sz w:val="22"/>
      <w:szCs w:val="22"/>
      <w:lang w:val="uk-UA" w:eastAsia="ar-SA"/>
    </w:rPr>
  </w:style>
  <w:style w:type="character" w:customStyle="1" w:styleId="11">
    <w:name w:val="Назва Знак"/>
    <w:basedOn w:val="4"/>
    <w:link w:val="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ідзаголовок Знак"/>
    <w:basedOn w:val="4"/>
    <w:link w:val="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3">
    <w:name w:val="No Spacing"/>
    <w:qFormat/>
    <w:uiPriority w:val="1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14">
    <w:name w:val="List Paragraph"/>
    <w:basedOn w:val="1"/>
    <w:qFormat/>
    <w:uiPriority w:val="34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5">
    <w:name w:val="Слабке виокремлення1"/>
    <w:basedOn w:val="4"/>
    <w:qFormat/>
    <w:uiPriority w:val="19"/>
    <w:rPr>
      <w:i/>
      <w:iCs/>
      <w:color w:val="7F7F7F" w:themeColor="text1" w:themeTint="7F"/>
    </w:rPr>
  </w:style>
  <w:style w:type="paragraph" w:customStyle="1" w:styleId="16">
    <w:name w:val="Table Paragraph"/>
    <w:basedOn w:val="1"/>
    <w:qFormat/>
    <w:uiPriority w:val="1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17">
    <w:name w:val="Звичайний (веб) Знак"/>
    <w:link w:val="7"/>
    <w:locked/>
    <w:uiPriority w:val="99"/>
    <w:rPr>
      <w:sz w:val="24"/>
      <w:szCs w:val="24"/>
      <w:lang w:val="zh-CN" w:eastAsia="zh-CN"/>
    </w:rPr>
  </w:style>
  <w:style w:type="paragraph" w:customStyle="1" w:styleId="18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character" w:customStyle="1" w:styleId="19">
    <w:name w:val="Заголовок 5 Знак"/>
    <w:basedOn w:val="4"/>
    <w:link w:val="3"/>
    <w:semiHidden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4112</Words>
  <Characters>2344</Characters>
  <Lines>19</Lines>
  <Paragraphs>12</Paragraphs>
  <TotalTime>0</TotalTime>
  <ScaleCrop>false</ScaleCrop>
  <LinksUpToDate>false</LinksUpToDate>
  <CharactersWithSpaces>6444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2019-12-09T21:04:00Z</dcterms:created>
  <dc:creator>PC - 6</dc:creator>
  <cp:lastModifiedBy>google1589453068</cp:lastModifiedBy>
  <dcterms:modified xsi:type="dcterms:W3CDTF">2024-01-10T16:05:20Z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