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Додаток 1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hd w:val="clear" w:color="auto" w:fill="ffffff"/>
        <w:spacing w:after="0" w:line="240" w:lineRule="auto"/>
        <w:ind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74" w:type="dxa"/>
        <w:jc w:val="center"/>
        <w:tblBorders/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61"/>
      </w:tblGrid>
      <w:tr>
        <w:trPr>
          <w:jc w:val="center"/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61" w:type="dxa"/>
            <w:vAlign w:val="center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Учасника кваліфікаційним критеріям**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58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обладнання, матеріально-технічної бази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61" w:type="dxa"/>
            <w:vMerge w:val="restart"/>
            <w:textDirection w:val="lrTb"/>
            <w:noWrap w:val="false"/>
          </w:tcPr>
          <w:p>
            <w:pPr>
              <w:pStyle w:val="1_701"/>
              <w:pBdr/>
              <w:spacing w:after="0" w:line="264" w:lineRule="auto"/>
              <w:ind w:right="100" w:left="7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lang w:val="uk-UA"/>
              </w:rPr>
              <w:t xml:space="preserve">Інформаційна довідка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(підписана учасником та скріплена печаткою (у разі її використання))</w:t>
            </w:r>
            <w:r>
              <w:rPr>
                <w:rFonts w:ascii="Times New Roman" w:hAnsi="Times New Roman" w:cs="Times New Roman"/>
                <w:lang w:val="uk-UA"/>
              </w:rPr>
              <w:t xml:space="preserve"> в довільній формі про наявність в учасника обладнання та матеріально-технічної бази, необхідних для виконання умов договору. 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  <w:p>
            <w:pPr>
              <w:pStyle w:val="1_701"/>
              <w:pBdr/>
              <w:spacing w:after="0" w:line="264" w:lineRule="auto"/>
              <w:ind w:right="100" w:left="7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Зокрема, довідка повинна містити інформацію, що підтверджує: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  <w:p>
            <w:pPr>
              <w:pStyle w:val="1_701"/>
              <w:pBdr/>
              <w:spacing w:after="0" w:line="264" w:lineRule="auto"/>
              <w:ind w:right="100" w:left="7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можливість поставки товару автотранспортом,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що призначений та обладнаний для перевезення лікарських препаратів </w:t>
            </w:r>
            <w:r>
              <w:rPr>
                <w:rFonts w:ascii="Times New Roman" w:hAnsi="Times New Roman" w:cs="Times New Roman"/>
                <w:lang w:val="uk-UA"/>
              </w:rPr>
              <w:t xml:space="preserve">з дотриманням санітарно-гігієнічних умов для транспортування ліків, в т.ч. забезпечення необхідного температурного режиму;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  <w:p>
            <w:pPr>
              <w:pStyle w:val="1_701"/>
              <w:pBdr/>
              <w:spacing w:after="0" w:line="264" w:lineRule="auto"/>
              <w:ind w:right="100" w:left="7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2) наявність об’єктів (складів, інших потужностей), де буде здійснюватись зберігання предмету закупівлі, з дотриманням відповідних до чинного законодавства умов обігу для даного виду продукції, в т.ч. додержання необхідного температурного режиму.</w:t>
            </w:r>
            <w:r>
              <w:rPr>
                <w:rFonts w:ascii="Times New Roman" w:hAnsi="Times New Roman" w:cs="Times New Roman"/>
                <w:lang w:val="uk-UA"/>
              </w:rPr>
            </w:r>
            <w:r>
              <w:rPr>
                <w:rFonts w:ascii="Times New Roman" w:hAnsi="Times New Roman" w:cs="Times New Roman"/>
                <w:lang w:val="uk-UA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1.2. Якщо транспортний засіб або об’єкт (с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клад, інші потужності), де зберігається предмет закупівлі, орендовані (в тимчасовому користуванні, або інше), то Учасник має надати в складі тендерної пропозиції копію діючого договору оренди (договору суборенди,договору перевезення (для транспортних засобів) договору про тимчасове користування, інше).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1.3. Якщо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транспортний засіб або об’єкт (с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клад, інші потужності), де зберігається предмет закупівлі</w:t>
            </w:r>
            <w:r/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, є власністю учасника, то на підтвердження права власності він надає: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Style w:val="678"/>
              <w:numPr>
                <w:ilvl w:val="0"/>
                <w:numId w:val="4"/>
              </w:num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для транспортних засобів: копії свідоцтв про реєстрацію транспортних засобів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</w:r>
          </w:p>
          <w:p>
            <w:pPr>
              <w:pStyle w:val="678"/>
              <w:numPr>
                <w:ilvl w:val="0"/>
                <w:numId w:val="4"/>
              </w:num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:lang w:val="uk-UA" w:eastAsia="ru-RU"/>
              </w:rPr>
            </w:r>
          </w:p>
        </w:tc>
      </w:tr>
      <w:tr>
        <w:trPr>
          <w:jc w:val="center"/>
          <w:trHeight w:val="58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4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6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6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2.1.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Довідка в довільній формі, з інформацією про виконання  аналогічних за предметом закупівлі договорів  (не менше двох договорів).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коду ДК 021:2015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33600000-6 — «Фармацевтична продукція»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2.2. На підтвердження досвіду виконання аналогічних за предметом закупівлі договорів Учасник має надати: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та інформації  для підтвердження відповідності УЧАСНИКА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ПЕРЕМОЖЦЯ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Особливостей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0" w:type="auto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Підстави для відмови в участі у процедурі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Учасник процедури закупівлі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pBdr/>
              <w:spacing w:line="0" w:lineRule="atLeast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пов’язані з корупцією правопорушення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Реєстру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корупційні правопорушення)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керівника* учасника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фізичну особу, яка є учасником процедури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закупівлі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було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(учасник процедури закупівлі) протягом останніх трьох років притягував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4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5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судимості не має та в розшуку не перебуває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6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відповідальності не притягується, незнятої чи непогашеної судимості не має та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8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10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(лише у випадку, якщо вартість закупівлі дорівнює або перевищує 20 мільйонів гривень (у тому числі за лотом)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неї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України “Про санкції”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11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підтвердження своєї відповідності.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(підпункт 12 пункту 47 Особливостей)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r>
          </w:p>
          <w:p>
            <w:pPr>
              <w:pBdr/>
              <w:spacing w:line="0" w:lineRule="atLeast"/>
              <w:ind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Документ повинен бути не більше тридцятиденної давнини від дати видачі документа.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Bdr/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uk-UA"/>
        </w:rPr>
        <w:t xml:space="preserve">на керівника юридичної особи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  <w:t xml:space="preserve">, а не керівника відокремленого підрозділу або філії.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  <w:r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r>
    </w:p>
    <w:p>
      <w:pPr>
        <w:pBdr/>
        <w:shd w:val="clear" w:color="auto" w:fill="ffffff"/>
        <w:spacing w:after="0" w:before="240" w:line="240" w:lineRule="auto"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Інша інформація (для УЧАСНИКІВ - юридичних осіб, фізичних осіб та фізичних осіб-підприємців).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r>
    </w:p>
    <w:tbl>
      <w:tblPr>
        <w:tblW w:w="9598" w:type="dxa"/>
        <w:tblBorders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98"/>
      </w:tblGrid>
      <w:tr>
        <w:trPr>
          <w:trHeight w:val="124"/>
        </w:trPr>
        <w:tc>
          <w:tcPr>
            <w:shd w:val="clear" w:color="auto" w:fill="cccccc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598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документи від Учасника: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</w:tr>
    </w:tbl>
    <w:p>
      <w:pPr>
        <w:pBdr/>
        <w:spacing w:after="0" w:before="240" w:line="240" w:lineRule="auto"/>
        <w:ind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r>
    </w:p>
    <w:tbl>
      <w:tblPr>
        <w:tblW w:w="9560" w:type="dxa"/>
        <w:tblInd w:w="85" w:type="dxa"/>
        <w:tblBorders/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>
        <w:trPr>
          <w:trHeight w:val="80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Bdr/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r>
          </w:p>
        </w:tc>
      </w:tr>
      <w:tr>
        <w:trPr>
          <w:trHeight w:val="8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986" w:type="dxa"/>
            <w:textDirection w:val="lrTb"/>
            <w:noWrap w:val="false"/>
          </w:tcPr>
          <w:p>
            <w:pPr>
              <w:pBdr/>
              <w:spacing w:after="0" w:before="24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574" w:type="dxa"/>
            <w:textDirection w:val="lrTb"/>
            <w:noWrap w:val="false"/>
          </w:tcPr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Також, учасник надає: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витяг/свідоцтво про сплату ПДВ/єдиного податку;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іноземного учасника - завірений переклад витягу з торгового реєстру, тощо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  <w:p>
            <w:pPr>
              <w:pStyle w:val="841"/>
              <w:pBdr/>
              <w:spacing w:line="240" w:lineRule="auto"/>
              <w:ind w:hanging="21" w:left="34"/>
              <w:contextualSpacing w:val="tru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r>
          </w:p>
        </w:tc>
      </w:tr>
    </w:tbl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tabs>
          <w:tab w:val="left" w:leader="none" w:pos="993"/>
        </w:tabs>
        <w:spacing/>
        <w:ind w:firstLine="568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p>
      <w:pPr>
        <w:pBdr/>
        <w:spacing/>
        <w:ind/>
        <w:rPr>
          <w:lang w:val="uk-UA"/>
        </w:rPr>
      </w:pP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sectPr>
      <w:footnotePr/>
      <w:endnotePr/>
      <w:type w:val="nextPage"/>
      <w:pgSz w:h="15840" w:orient="landscape" w:w="12240"/>
      <w:pgMar w:top="1440" w:right="1440" w:bottom="1440" w:left="14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7"/>
    <w:next w:val="837"/>
    <w:link w:val="66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8"/>
    <w:link w:val="66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837"/>
    <w:next w:val="837"/>
    <w:link w:val="66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4">
    <w:name w:val="Heading 3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8"/>
    <w:link w:val="66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8"/>
    <w:link w:val="67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7"/>
    <w:uiPriority w:val="34"/>
    <w:qFormat/>
    <w:pPr>
      <w:pBdr/>
      <w:spacing/>
      <w:ind w:left="720"/>
      <w:contextualSpacing w:val="true"/>
    </w:pPr>
  </w:style>
  <w:style w:type="paragraph" w:styleId="679">
    <w:name w:val="No Spacing"/>
    <w:uiPriority w:val="1"/>
    <w:qFormat/>
    <w:pPr>
      <w:pBdr/>
      <w:spacing w:after="0" w:before="0" w:line="240" w:lineRule="auto"/>
      <w:ind/>
    </w:pPr>
  </w:style>
  <w:style w:type="paragraph" w:styleId="680">
    <w:name w:val="Title"/>
    <w:basedOn w:val="837"/>
    <w:next w:val="837"/>
    <w:link w:val="68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1">
    <w:name w:val="Title Char"/>
    <w:basedOn w:val="838"/>
    <w:link w:val="680"/>
    <w:uiPriority w:val="10"/>
    <w:pPr>
      <w:pBdr/>
      <w:spacing/>
      <w:ind/>
    </w:pPr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3">
    <w:name w:val="Subtitle Char"/>
    <w:basedOn w:val="838"/>
    <w:link w:val="682"/>
    <w:uiPriority w:val="11"/>
    <w:pPr>
      <w:pBdr/>
      <w:spacing/>
      <w:ind/>
    </w:pPr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pBdr/>
      <w:spacing/>
      <w:ind w:right="720" w:left="720"/>
    </w:pPr>
    <w:rPr>
      <w:i/>
    </w:rPr>
  </w:style>
  <w:style w:type="character" w:styleId="685">
    <w:name w:val="Quote Char"/>
    <w:link w:val="684"/>
    <w:uiPriority w:val="29"/>
    <w:pPr>
      <w:pBdr/>
      <w:spacing/>
      <w:ind/>
    </w:pPr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7">
    <w:name w:val="Intense Quote Char"/>
    <w:link w:val="686"/>
    <w:uiPriority w:val="30"/>
    <w:pPr>
      <w:pBdr/>
      <w:spacing/>
      <w:ind/>
    </w:pPr>
    <w:rPr>
      <w:i/>
    </w:rPr>
  </w:style>
  <w:style w:type="paragraph" w:styleId="688">
    <w:name w:val="Header"/>
    <w:basedOn w:val="837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9">
    <w:name w:val="Header Char"/>
    <w:basedOn w:val="838"/>
    <w:link w:val="688"/>
    <w:uiPriority w:val="99"/>
    <w:pPr>
      <w:pBdr/>
      <w:spacing/>
      <w:ind/>
    </w:pPr>
  </w:style>
  <w:style w:type="paragraph" w:styleId="690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Footer Char"/>
    <w:basedOn w:val="838"/>
    <w:link w:val="690"/>
    <w:uiPriority w:val="99"/>
    <w:pPr>
      <w:pBdr/>
      <w:spacing/>
      <w:ind/>
    </w:pPr>
  </w:style>
  <w:style w:type="paragraph" w:styleId="692">
    <w:name w:val="Caption"/>
    <w:basedOn w:val="837"/>
    <w:next w:val="8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 w:after="160" w:line="259" w:lineRule="auto"/>
      <w:ind/>
    </w:pPr>
    <w:rPr>
      <w:lang w:val="ru-RU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paragraph" w:styleId="841" w:customStyle="1">
    <w:name w:val="Обычный1"/>
    <w:qFormat/>
    <w:pPr>
      <w:pBdr/>
      <w:spacing w:after="0"/>
      <w:ind/>
    </w:pPr>
    <w:rPr>
      <w:rFonts w:ascii="Arial" w:hAnsi="Arial" w:eastAsia="Arial" w:cs="Arial"/>
      <w:color w:val="000000"/>
      <w:lang w:val="ru-RU" w:eastAsia="ru-RU"/>
    </w:rPr>
  </w:style>
  <w:style w:type="character" w:styleId="842">
    <w:name w:val="Hyperlink"/>
    <w:basedOn w:val="838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43">
    <w:name w:val="Normal (Web)"/>
    <w:basedOn w:val="837"/>
    <w:uiPriority w:val="99"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_701" w:customStyle="1">
    <w:name w:val="Body Text Indent 2"/>
    <w:basedOn w:val="619"/>
    <w:link w:val="629"/>
    <w:unhideWhenUsed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after="120" w:afterAutospacing="0" w:before="0" w:beforeAutospacing="0" w:line="480" w:lineRule="auto"/>
      <w:ind w:right="0" w:firstLine="0" w:left="283"/>
      <w:contextualSpacing w:val="false"/>
      <w:jc w:val="left"/>
    </w:pPr>
    <w:rPr>
      <w:rFonts w:ascii="Calibri" w:hAnsi="Calibri" w:cs="Calibri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revision>16</cp:revision>
  <dcterms:created xsi:type="dcterms:W3CDTF">2023-02-26T19:37:00Z</dcterms:created>
  <dcterms:modified xsi:type="dcterms:W3CDTF">2024-05-01T09:36:06Z</dcterms:modified>
</cp:coreProperties>
</file>