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p w:rsidR="006025BC" w:rsidRDefault="006025BC">
      <w:pPr>
        <w:pStyle w:val="a3"/>
        <w:spacing w:before="9"/>
        <w:rPr>
          <w:sz w:val="24"/>
          <w:u w:val="non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396"/>
        <w:gridCol w:w="7035"/>
      </w:tblGrid>
      <w:tr w:rsidR="006025BC">
        <w:trPr>
          <w:trHeight w:val="830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2" w:lineRule="auto"/>
              <w:ind w:left="162" w:right="1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6" w:type="dxa"/>
          </w:tcPr>
          <w:p w:rsidR="006025BC" w:rsidRDefault="00DB46D6">
            <w:pPr>
              <w:pStyle w:val="TableParagraph"/>
              <w:spacing w:line="242" w:lineRule="auto"/>
              <w:ind w:left="710" w:right="2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критерій</w:t>
            </w:r>
          </w:p>
        </w:tc>
        <w:tc>
          <w:tcPr>
            <w:tcW w:w="7035" w:type="dxa"/>
          </w:tcPr>
          <w:p w:rsidR="006025BC" w:rsidRDefault="00DB46D6">
            <w:pPr>
              <w:pStyle w:val="TableParagraph"/>
              <w:spacing w:line="242" w:lineRule="auto"/>
              <w:ind w:left="1349" w:right="256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</w:t>
            </w:r>
          </w:p>
        </w:tc>
      </w:tr>
      <w:tr w:rsidR="006025BC">
        <w:trPr>
          <w:trHeight w:val="2943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  <w:r w:rsidR="0048541E">
              <w:t>.</w:t>
            </w:r>
          </w:p>
        </w:tc>
        <w:tc>
          <w:tcPr>
            <w:tcW w:w="2396" w:type="dxa"/>
          </w:tcPr>
          <w:p w:rsidR="006025BC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7035" w:type="dxa"/>
          </w:tcPr>
          <w:p w:rsidR="006025BC" w:rsidRDefault="00396D86" w:rsidP="0048541E">
            <w:pPr>
              <w:pStyle w:val="TableParagraph"/>
              <w:ind w:left="57" w:right="57"/>
              <w:jc w:val="both"/>
            </w:pPr>
            <w:r w:rsidRPr="00396D86">
              <w:t>1.1 Довідка, що містить інформацію про наявність в учасника основних засобів необхідних для виконання замовлення у вигляді таблиці, в якій зазначається: модель та марка спеціалізованого автотранспортного засобу (у кількості не менше двох одиниць) яким буде постачатися товар, що є предметом закупівлі; власне, орендуються (у кого), використовуються за договором транспортного експедирування чи позички(якщо автотранспортні засоби учасник використовує згідно з договором оренди, транспортного експедирування, позички. Додатково у складі пропозиції подаються завірені згідно з чинним законодавства копії таких договорів, оформлені відповідно до вимог чинного законодавства з додатками та актами).</w:t>
            </w:r>
          </w:p>
          <w:p w:rsidR="00396D86" w:rsidRPr="00251EDA" w:rsidRDefault="00396D86" w:rsidP="0048541E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lang w:eastAsia="uk-UA"/>
              </w:rPr>
            </w:pPr>
            <w:r w:rsidRPr="00251EDA">
              <w:rPr>
                <w:rFonts w:eastAsia="Calibri"/>
                <w:lang w:eastAsia="uk-UA"/>
              </w:rPr>
              <w:t xml:space="preserve">1.2. </w:t>
            </w:r>
            <w:r w:rsidRPr="00251EDA">
              <w:rPr>
                <w:lang w:eastAsia="ru-RU"/>
              </w:rPr>
              <w:t xml:space="preserve">Копії свідоцтв про державну реєстрацію спеціалізованих </w:t>
            </w:r>
            <w:r w:rsidRPr="00251EDA">
              <w:rPr>
                <w:rFonts w:eastAsia="Calibri"/>
                <w:lang w:eastAsia="uk-UA"/>
              </w:rPr>
              <w:t xml:space="preserve">автотранспортних засобів, які </w:t>
            </w:r>
            <w:r w:rsidRPr="00251EDA">
              <w:rPr>
                <w:lang w:eastAsia="ru-RU"/>
              </w:rPr>
              <w:t>вказані в довідці згідно пп.1.1.</w:t>
            </w:r>
          </w:p>
          <w:p w:rsidR="00396D86" w:rsidRDefault="00396D86" w:rsidP="0048541E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</w:p>
        </w:tc>
      </w:tr>
      <w:tr w:rsidR="00396D86" w:rsidTr="0048541E">
        <w:trPr>
          <w:trHeight w:val="2206"/>
        </w:trPr>
        <w:tc>
          <w:tcPr>
            <w:tcW w:w="629" w:type="dxa"/>
          </w:tcPr>
          <w:p w:rsidR="00396D86" w:rsidRDefault="00396D86">
            <w:pPr>
              <w:pStyle w:val="TableParagraph"/>
              <w:spacing w:line="249" w:lineRule="exact"/>
              <w:ind w:left="9"/>
              <w:jc w:val="center"/>
            </w:pPr>
            <w:bookmarkStart w:id="0" w:name="_GoBack" w:colFirst="2" w:colLast="2"/>
            <w:r>
              <w:t>2</w:t>
            </w:r>
            <w:r w:rsidR="0048541E">
              <w:t>.</w:t>
            </w:r>
          </w:p>
        </w:tc>
        <w:tc>
          <w:tcPr>
            <w:tcW w:w="2396" w:type="dxa"/>
          </w:tcPr>
          <w:p w:rsidR="00396D86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035" w:type="dxa"/>
          </w:tcPr>
          <w:p w:rsidR="0025541B" w:rsidRPr="00E8306B" w:rsidRDefault="0025541B" w:rsidP="0048541E">
            <w:pPr>
              <w:pStyle w:val="TableParagraph"/>
              <w:tabs>
                <w:tab w:val="left" w:pos="538"/>
              </w:tabs>
              <w:ind w:left="57" w:right="57"/>
              <w:jc w:val="both"/>
            </w:pPr>
            <w:r w:rsidRPr="00E8306B">
              <w:t>2.1 Довідка у довільній формі, що містить інформацію про наявність в учасника працівників (не менше одного водія та одного експедитора) відповідної кваліфікації, які мають необхідні знання та досвід.</w:t>
            </w:r>
          </w:p>
          <w:p w:rsidR="00396D86" w:rsidRPr="00E8306B" w:rsidRDefault="0025541B" w:rsidP="0048541E">
            <w:pPr>
              <w:pStyle w:val="TableParagraph"/>
              <w:tabs>
                <w:tab w:val="left" w:pos="538"/>
              </w:tabs>
              <w:ind w:left="57" w:right="57"/>
              <w:jc w:val="both"/>
            </w:pPr>
            <w:r w:rsidRPr="00E8306B">
              <w:t>2.2 Копії особових медичних книжок водія та експедитора, що вказані у довідці відповідно до п 2.1 даного кваліфікаційного критерію. Оформлених відповідно до Наказу МОЗ України від 21.02.2013 № 150 із відміткою про допуск до роботи.</w:t>
            </w:r>
          </w:p>
        </w:tc>
      </w:tr>
      <w:tr w:rsidR="00396D86">
        <w:trPr>
          <w:trHeight w:val="2943"/>
        </w:trPr>
        <w:tc>
          <w:tcPr>
            <w:tcW w:w="629" w:type="dxa"/>
          </w:tcPr>
          <w:p w:rsidR="00396D86" w:rsidRDefault="00396D86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  <w:r w:rsidR="0048541E">
              <w:t>.</w:t>
            </w:r>
          </w:p>
        </w:tc>
        <w:tc>
          <w:tcPr>
            <w:tcW w:w="2396" w:type="dxa"/>
          </w:tcPr>
          <w:p w:rsidR="00396D86" w:rsidRDefault="0048541E">
            <w:pPr>
              <w:pStyle w:val="TableParagraph"/>
              <w:ind w:right="307"/>
            </w:pP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підтвердженого</w:t>
            </w:r>
            <w:r>
              <w:rPr>
                <w:spacing w:val="1"/>
              </w:rPr>
              <w:t xml:space="preserve"> </w:t>
            </w:r>
            <w:r>
              <w:t>досвіду 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 за</w:t>
            </w:r>
            <w:r>
              <w:rPr>
                <w:spacing w:val="1"/>
              </w:rPr>
              <w:t xml:space="preserve"> </w:t>
            </w:r>
            <w:r>
              <w:t>предметом закупівлі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t>(договорів)</w:t>
            </w:r>
          </w:p>
        </w:tc>
        <w:tc>
          <w:tcPr>
            <w:tcW w:w="7035" w:type="dxa"/>
          </w:tcPr>
          <w:p w:rsidR="0025541B" w:rsidRPr="00E8306B" w:rsidRDefault="0025541B" w:rsidP="0048541E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  <w:rPr>
                <w:rFonts w:eastAsia="Calibri"/>
                <w:strike/>
                <w:lang w:eastAsia="uk-UA"/>
              </w:rPr>
            </w:pPr>
            <w:r w:rsidRPr="00E8306B">
              <w:rPr>
                <w:rFonts w:eastAsia="Calibri"/>
                <w:lang w:eastAsia="zh-CN"/>
              </w:rPr>
              <w:t xml:space="preserve">3.1. </w:t>
            </w:r>
            <w:r w:rsidRPr="00E8306B">
              <w:rPr>
                <w:rFonts w:eastAsia="Calibri"/>
                <w:lang w:eastAsia="uk-UA"/>
              </w:rPr>
              <w:t xml:space="preserve">Довідка, складена у довільній формі, </w:t>
            </w:r>
            <w:r w:rsidRPr="00E8306B">
              <w:rPr>
                <w:lang w:eastAsia="ru-RU"/>
              </w:rPr>
              <w:t>за підписом учасника або його уповноваженої особи та скріплена печаткою (за наявності),</w:t>
            </w:r>
            <w:r w:rsidRPr="00E8306B">
              <w:rPr>
                <w:rFonts w:eastAsia="Calibri"/>
                <w:lang w:eastAsia="uk-UA"/>
              </w:rPr>
              <w:t xml:space="preserve"> про наявність документально підтвердженого досвіду виконання не менше одного аналогічного договору за період 2018-202</w:t>
            </w:r>
            <w:r w:rsidR="0048541E" w:rsidRPr="00E8306B">
              <w:rPr>
                <w:rFonts w:eastAsia="Calibri"/>
                <w:lang w:eastAsia="uk-UA"/>
              </w:rPr>
              <w:t>2</w:t>
            </w:r>
            <w:r w:rsidRPr="00E8306B">
              <w:rPr>
                <w:rFonts w:eastAsia="Calibri"/>
                <w:lang w:eastAsia="uk-UA"/>
              </w:rPr>
              <w:t xml:space="preserve"> рр. Довідка повинна містити інформацію про номер, дату, предмет і суму договору; найменування, код ЄДРПОУ (</w:t>
            </w:r>
            <w:r w:rsidRPr="00E8306B">
              <w:rPr>
                <w:rFonts w:eastAsia="Calibri"/>
                <w:bCs/>
                <w:lang w:eastAsia="uk-UA"/>
              </w:rPr>
              <w:t>РНОКПП</w:t>
            </w:r>
            <w:r w:rsidRPr="00E8306B">
              <w:rPr>
                <w:rFonts w:eastAsia="Calibri"/>
                <w:lang w:eastAsia="uk-UA"/>
              </w:rPr>
              <w:t>) та адресу контрагента.</w:t>
            </w:r>
          </w:p>
          <w:p w:rsidR="0025541B" w:rsidRPr="00E8306B" w:rsidRDefault="0025541B" w:rsidP="0048541E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  <w:rPr>
                <w:rFonts w:eastAsia="Calibri"/>
                <w:lang w:eastAsia="uk-UA"/>
              </w:rPr>
            </w:pPr>
            <w:r w:rsidRPr="00E8306B">
              <w:rPr>
                <w:rFonts w:eastAsia="Calibri"/>
                <w:lang w:eastAsia="zh-CN"/>
              </w:rPr>
              <w:t>Під аналогічним договором розуміється виконання учасником договору щодо поставки товару, що є предметом закупівлі</w:t>
            </w:r>
            <w:r w:rsidRPr="00E8306B">
              <w:rPr>
                <w:rFonts w:eastAsia="Calibri"/>
                <w:lang w:eastAsia="uk-UA"/>
              </w:rPr>
              <w:t>.</w:t>
            </w:r>
          </w:p>
          <w:p w:rsidR="0025541B" w:rsidRPr="00E8306B" w:rsidRDefault="0025541B" w:rsidP="0048541E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  <w:rPr>
                <w:rFonts w:eastAsia="Calibri"/>
                <w:lang w:eastAsia="uk-UA"/>
              </w:rPr>
            </w:pPr>
            <w:r w:rsidRPr="00E8306B">
              <w:rPr>
                <w:rFonts w:eastAsia="Calibri"/>
                <w:lang w:eastAsia="uk-UA"/>
              </w:rPr>
              <w:t xml:space="preserve">3.2. </w:t>
            </w:r>
            <w:proofErr w:type="spellStart"/>
            <w:r w:rsidRPr="00E8306B">
              <w:rPr>
                <w:rFonts w:eastAsia="Calibri"/>
                <w:lang w:eastAsia="uk-UA"/>
              </w:rPr>
              <w:t>Скан-копія</w:t>
            </w:r>
            <w:proofErr w:type="spellEnd"/>
            <w:r w:rsidRPr="00E8306B">
              <w:rPr>
                <w:rFonts w:eastAsia="Calibri"/>
                <w:lang w:eastAsia="uk-UA"/>
              </w:rPr>
              <w:t xml:space="preserve"> аналогічного договору, зазначеного у довідці про наявність документально підтвердженого досвіду виконання аналогічного договору.</w:t>
            </w:r>
          </w:p>
          <w:p w:rsidR="00396D86" w:rsidRPr="00E8306B" w:rsidRDefault="0025541B" w:rsidP="0048541E">
            <w:pPr>
              <w:pStyle w:val="TableParagraph"/>
              <w:tabs>
                <w:tab w:val="left" w:pos="538"/>
              </w:tabs>
              <w:ind w:left="57" w:right="57"/>
              <w:jc w:val="both"/>
            </w:pPr>
            <w:r w:rsidRPr="00E8306B">
              <w:rPr>
                <w:rFonts w:eastAsia="Calibri"/>
                <w:lang w:val="ru-RU"/>
              </w:rPr>
              <w:t xml:space="preserve">3.3. </w:t>
            </w:r>
            <w:proofErr w:type="spellStart"/>
            <w:r w:rsidRPr="00E8306B">
              <w:rPr>
                <w:rFonts w:eastAsia="Calibri"/>
                <w:lang w:val="ru-RU"/>
              </w:rPr>
              <w:t>Скан-копія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позитивного </w:t>
            </w:r>
            <w:proofErr w:type="spellStart"/>
            <w:r w:rsidRPr="00E8306B">
              <w:rPr>
                <w:rFonts w:eastAsia="Calibri"/>
                <w:lang w:val="ru-RU"/>
              </w:rPr>
              <w:t>відгуку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8306B">
              <w:rPr>
                <w:rFonts w:eastAsia="Calibri"/>
                <w:lang w:val="ru-RU"/>
              </w:rPr>
              <w:t>від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контрагента по </w:t>
            </w:r>
            <w:proofErr w:type="spellStart"/>
            <w:r w:rsidRPr="00E8306B">
              <w:rPr>
                <w:rFonts w:eastAsia="Calibri"/>
                <w:lang w:val="ru-RU"/>
              </w:rPr>
              <w:t>наданій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8306B">
              <w:rPr>
                <w:rFonts w:eastAsia="Calibri"/>
                <w:lang w:val="ru-RU"/>
              </w:rPr>
              <w:t>скан-копії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8306B">
              <w:rPr>
                <w:rFonts w:eastAsia="Calibri"/>
                <w:lang w:val="ru-RU"/>
              </w:rPr>
              <w:t>аналогічного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договору. </w:t>
            </w:r>
            <w:proofErr w:type="spellStart"/>
            <w:r w:rsidRPr="00E8306B">
              <w:rPr>
                <w:rFonts w:eastAsia="Calibri"/>
                <w:lang w:val="ru-RU"/>
              </w:rPr>
              <w:t>Відгук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повинен </w:t>
            </w:r>
            <w:proofErr w:type="spellStart"/>
            <w:r w:rsidRPr="00E8306B">
              <w:rPr>
                <w:rFonts w:eastAsia="Calibri"/>
                <w:lang w:val="ru-RU"/>
              </w:rPr>
              <w:t>надаватися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на </w:t>
            </w:r>
            <w:proofErr w:type="spellStart"/>
            <w:r w:rsidRPr="00E8306B">
              <w:rPr>
                <w:rFonts w:eastAsia="Calibri"/>
                <w:lang w:val="ru-RU"/>
              </w:rPr>
              <w:t>фірмовому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бланку контрагента (у </w:t>
            </w:r>
            <w:proofErr w:type="spellStart"/>
            <w:r w:rsidRPr="00E8306B">
              <w:rPr>
                <w:rFonts w:eastAsia="Calibri"/>
                <w:lang w:val="ru-RU"/>
              </w:rPr>
              <w:t>разі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8306B">
              <w:rPr>
                <w:rFonts w:eastAsia="Calibri"/>
                <w:lang w:val="ru-RU"/>
              </w:rPr>
              <w:t>використання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) та </w:t>
            </w:r>
            <w:proofErr w:type="spellStart"/>
            <w:r w:rsidRPr="00E8306B">
              <w:rPr>
                <w:rFonts w:eastAsia="Calibri"/>
                <w:lang w:val="ru-RU"/>
              </w:rPr>
              <w:t>містити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дату </w:t>
            </w:r>
            <w:proofErr w:type="spellStart"/>
            <w:r w:rsidRPr="00E8306B">
              <w:rPr>
                <w:rFonts w:eastAsia="Calibri"/>
                <w:lang w:val="ru-RU"/>
              </w:rPr>
              <w:t>його</w:t>
            </w:r>
            <w:proofErr w:type="spellEnd"/>
            <w:r w:rsidRPr="00E8306B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8306B">
              <w:rPr>
                <w:rFonts w:eastAsia="Calibri"/>
                <w:lang w:val="ru-RU"/>
              </w:rPr>
              <w:t>надання</w:t>
            </w:r>
            <w:proofErr w:type="spellEnd"/>
            <w:r w:rsidRPr="00E8306B">
              <w:rPr>
                <w:rFonts w:eastAsia="Calibri"/>
                <w:lang w:val="ru-RU"/>
              </w:rPr>
              <w:t>.</w:t>
            </w:r>
          </w:p>
        </w:tc>
      </w:tr>
    </w:tbl>
    <w:bookmarkEnd w:id="0"/>
    <w:p w:rsidR="006025BC" w:rsidRDefault="00DB46D6">
      <w:pPr>
        <w:pStyle w:val="a3"/>
        <w:spacing w:before="231"/>
        <w:ind w:left="336" w:right="337"/>
        <w:jc w:val="both"/>
        <w:rPr>
          <w:u w:val="none"/>
        </w:rPr>
      </w:pPr>
      <w:r>
        <w:rPr>
          <w:i/>
          <w:u w:val="none"/>
        </w:rPr>
        <w:t>*</w:t>
      </w:r>
      <w:r>
        <w:rPr>
          <w:i/>
          <w:spacing w:val="1"/>
          <w:u w:val="none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  <w:u w:val="none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узагальнених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  <w:u w:val="none"/>
        </w:rPr>
        <w:t xml:space="preserve"> </w:t>
      </w:r>
      <w:r>
        <w:t>об’єднання</w:t>
      </w:r>
      <w:r>
        <w:rPr>
          <w:spacing w:val="-4"/>
        </w:rPr>
        <w:t xml:space="preserve"> </w:t>
      </w:r>
      <w:r>
        <w:t>на підставі</w:t>
      </w:r>
      <w:r>
        <w:rPr>
          <w:spacing w:val="2"/>
        </w:rPr>
        <w:t xml:space="preserve"> </w:t>
      </w:r>
      <w:r>
        <w:t>наданої</w:t>
      </w:r>
      <w:r>
        <w:rPr>
          <w:spacing w:val="-2"/>
        </w:rPr>
        <w:t xml:space="preserve"> </w:t>
      </w:r>
      <w:r>
        <w:t>об’єднанням</w:t>
      </w:r>
      <w:r>
        <w:rPr>
          <w:spacing w:val="-3"/>
        </w:rPr>
        <w:t xml:space="preserve"> </w:t>
      </w:r>
      <w:r>
        <w:t>інформації.</w:t>
      </w:r>
    </w:p>
    <w:sectPr w:rsidR="006025BC" w:rsidSect="00302197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25BC"/>
    <w:rsid w:val="00251EDA"/>
    <w:rsid w:val="0025541B"/>
    <w:rsid w:val="00302197"/>
    <w:rsid w:val="00396D86"/>
    <w:rsid w:val="0048541E"/>
    <w:rsid w:val="006025BC"/>
    <w:rsid w:val="00C72C07"/>
    <w:rsid w:val="00DB46D6"/>
    <w:rsid w:val="00E8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219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02197"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2197"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  <w:rsid w:val="00302197"/>
  </w:style>
  <w:style w:type="paragraph" w:customStyle="1" w:styleId="TableParagraph">
    <w:name w:val="Table Paragraph"/>
    <w:basedOn w:val="a"/>
    <w:uiPriority w:val="1"/>
    <w:qFormat/>
    <w:rsid w:val="0030219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2023-01-10T11:36:00Z</dcterms:created>
  <dcterms:modified xsi:type="dcterms:W3CDTF">2023-01-10T11:36:00Z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