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firstLine="0"/>
        <w:jc w:val="left"/>
        <w:rPr>
          <w:rFonts w:ascii="Times New Roman" w:hAnsi="Times New Roman" w:eastAsia="Times New Roman" w:cs="Times New Roman"/>
          <w:b/>
          <w:i/>
          <w:color w:val="4A86E8"/>
          <w:sz w:val="28"/>
          <w:szCs w:val="28"/>
        </w:rPr>
      </w:pP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after="0" w:line="240" w:lineRule="auto"/>
        <w:ind w:left="885" w:firstLine="0"/>
        <w:jc w:val="center"/>
        <w:rPr>
          <w:rFonts w:ascii="Times New Roman" w:hAnsi="Times New Roman" w:eastAsia="Times New Roman" w:cs="Times New Roman"/>
          <w:b/>
          <w:i/>
          <w:color w:val="4A86E8"/>
          <w:sz w:val="20"/>
          <w:szCs w:val="20"/>
        </w:rPr>
      </w:pPr>
    </w:p>
    <w:tbl>
      <w:tblPr>
        <w:tblStyle w:val="31"/>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Документи та </w:t>
            </w:r>
            <w:r>
              <w:rPr>
                <w:rFonts w:ascii="Times New Roman" w:hAnsi="Times New Roman" w:eastAsia="Times New Roman" w:cs="Times New Roman"/>
                <w:b/>
                <w:color w:val="auto"/>
                <w:sz w:val="20"/>
                <w:szCs w:val="20"/>
                <w:highlight w:val="none"/>
                <w:rtl w:val="0"/>
              </w:rPr>
              <w:t>інформація, які</w:t>
            </w:r>
            <w:r>
              <w:rPr>
                <w:rFonts w:ascii="Times New Roman" w:hAnsi="Times New Roman" w:eastAsia="Times New Roman" w:cs="Times New Roman"/>
                <w:b/>
                <w:color w:val="000000"/>
                <w:sz w:val="20"/>
                <w:szCs w:val="20"/>
                <w:rtl w:val="0"/>
              </w:rPr>
              <w:t xml:space="preserve">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tl w:val="0"/>
                <w:lang w:val="uk-UA"/>
              </w:rPr>
              <w:t>1</w:t>
            </w:r>
            <w:r>
              <w:rPr>
                <w:rFonts w:ascii="Times New Roman" w:hAnsi="Times New Roman" w:eastAsia="Times New Roman" w:cs="Times New Roman"/>
                <w:color w:val="000000"/>
                <w:sz w:val="20"/>
                <w:szCs w:val="20"/>
                <w:rtl w:val="0"/>
              </w:rPr>
              <w:t>.1.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rtl w:val="0"/>
                <w:lang w:val="uk-UA"/>
              </w:rPr>
              <w:t>1</w:t>
            </w:r>
            <w:r>
              <w:rPr>
                <w:rFonts w:ascii="Times New Roman" w:hAnsi="Times New Roman" w:eastAsia="Times New Roman" w:cs="Times New Roman"/>
                <w:color w:val="000000"/>
                <w:sz w:val="20"/>
                <w:szCs w:val="20"/>
                <w:rtl w:val="0"/>
              </w:rPr>
              <w:t>.1.1.</w:t>
            </w:r>
            <w:r>
              <w:rPr>
                <w:rFonts w:ascii="Times New Roman" w:hAnsi="Times New Roman" w:eastAsia="Times New Roman" w:cs="Times New Roman"/>
                <w:color w:val="000000"/>
                <w:sz w:val="20"/>
                <w:szCs w:val="20"/>
                <w:highlight w:val="none"/>
                <w:rtl w:val="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jc w:val="both"/>
              <w:rPr>
                <w:rFonts w:hint="default" w:ascii="Times New Roman" w:hAnsi="Times New Roman" w:eastAsia="Times New Roman" w:cs="Times New Roman"/>
                <w:sz w:val="20"/>
                <w:szCs w:val="20"/>
                <w:highlight w:val="none"/>
                <w:lang w:val="uk-UA"/>
              </w:rPr>
            </w:pPr>
            <w:r>
              <w:rPr>
                <w:rFonts w:ascii="Times New Roman" w:hAnsi="Times New Roman" w:eastAsia="Times New Roman" w:cs="Times New Roman"/>
                <w:b/>
                <w:i/>
                <w:color w:val="000000"/>
                <w:sz w:val="20"/>
                <w:szCs w:val="20"/>
                <w:highlight w:val="none"/>
                <w:rtl w:val="0"/>
              </w:rPr>
              <w:t xml:space="preserve">Аналогічним вважається договір </w:t>
            </w:r>
            <w:r>
              <w:rPr>
                <w:rFonts w:ascii="Times New Roman" w:hAnsi="Times New Roman" w:eastAsia="Times New Roman" w:cs="Times New Roman"/>
                <w:b/>
                <w:i/>
                <w:color w:val="000000"/>
                <w:sz w:val="20"/>
                <w:szCs w:val="20"/>
                <w:highlight w:val="none"/>
                <w:rtl w:val="0"/>
                <w:lang w:val="uk-UA"/>
              </w:rPr>
              <w:t>на</w:t>
            </w:r>
            <w:r>
              <w:rPr>
                <w:rFonts w:hint="default" w:ascii="Times New Roman" w:hAnsi="Times New Roman" w:eastAsia="Times New Roman" w:cs="Times New Roman"/>
                <w:b/>
                <w:i/>
                <w:color w:val="000000"/>
                <w:sz w:val="20"/>
                <w:szCs w:val="20"/>
                <w:highlight w:val="none"/>
                <w:rtl w:val="0"/>
                <w:lang w:val="uk-UA"/>
              </w:rPr>
              <w:t xml:space="preserve"> поставку багатофункціональних пристроїв у комплекті з витратними матеріалами</w:t>
            </w:r>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.1.2. не менше 1 копії договору, зазначеного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довідці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повному обсязі,</w:t>
            </w:r>
          </w:p>
          <w:p>
            <w:pPr>
              <w:spacing w:after="0" w:line="240" w:lineRule="auto"/>
              <w:jc w:val="both"/>
              <w:rPr>
                <w:rFonts w:ascii="Times New Roman" w:hAnsi="Times New Roman" w:eastAsia="Times New Roman" w:cs="Times New Roman"/>
                <w:color w:val="4A86E8"/>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.1.3. </w:t>
            </w:r>
            <w:r>
              <w:rPr>
                <w:rFonts w:ascii="Times New Roman" w:hAnsi="Times New Roman" w:eastAsia="Times New Roman" w:cs="Times New Roman"/>
                <w:color w:val="auto"/>
                <w:sz w:val="20"/>
                <w:szCs w:val="20"/>
                <w:highlight w:val="none"/>
                <w:rtl w:val="0"/>
              </w:rPr>
              <w:t>копії/ю документів/а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auto"/>
                <w:sz w:val="20"/>
                <w:szCs w:val="20"/>
                <w:highlight w:val="none"/>
                <w:rtl w:val="0"/>
                <w:lang w:val="uk-UA"/>
              </w:rPr>
              <w:t xml:space="preserve"> </w:t>
            </w:r>
            <w:r>
              <w:rPr>
                <w:rFonts w:hint="default" w:ascii="Times New Roman" w:hAnsi="Times New Roman" w:eastAsia="SimSun" w:cs="Times New Roman"/>
                <w:i w:val="0"/>
                <w:iCs w:val="0"/>
                <w:caps w:val="0"/>
                <w:color w:val="000000"/>
                <w:spacing w:val="0"/>
                <w:sz w:val="20"/>
                <w:szCs w:val="20"/>
                <w:highlight w:val="none"/>
              </w:rPr>
              <w:t>(видаткова накладна, або акт приймання-передачі, або іншій документ)</w:t>
            </w:r>
            <w:r>
              <w:rPr>
                <w:rFonts w:hint="default" w:ascii="Times New Roman" w:hAnsi="Times New Roman" w:eastAsia="SimSun" w:cs="Times New Roman"/>
                <w:i w:val="0"/>
                <w:iCs w:val="0"/>
                <w:caps w:val="0"/>
                <w:color w:val="000000"/>
                <w:spacing w:val="0"/>
                <w:sz w:val="20"/>
                <w:szCs w:val="20"/>
                <w:highlight w:val="none"/>
                <w:lang w:val="uk-UA"/>
              </w:rPr>
              <w:t>.</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auto"/>
                <w:sz w:val="20"/>
                <w:szCs w:val="20"/>
                <w:highlight w:val="none"/>
                <w:rtl w:val="0"/>
              </w:rPr>
              <w:t>Аналогічний договір нада</w:t>
            </w:r>
            <w:r>
              <w:rPr>
                <w:rFonts w:ascii="Times New Roman" w:hAnsi="Times New Roman" w:eastAsia="Times New Roman" w:cs="Times New Roman"/>
                <w:i/>
                <w:color w:val="auto"/>
                <w:sz w:val="20"/>
                <w:szCs w:val="20"/>
                <w:highlight w:val="none"/>
                <w:rtl w:val="0"/>
                <w:lang w:val="uk-UA"/>
              </w:rPr>
              <w:t>ється</w:t>
            </w:r>
            <w:r>
              <w:rPr>
                <w:rFonts w:ascii="Times New Roman" w:hAnsi="Times New Roman" w:eastAsia="Times New Roman" w:cs="Times New Roman"/>
                <w:i/>
                <w:color w:val="auto"/>
                <w:sz w:val="20"/>
                <w:szCs w:val="20"/>
                <w:highlight w:val="none"/>
                <w:rtl w:val="0"/>
              </w:rPr>
              <w:t xml:space="preserve"> з додатк</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специфікаці</w:t>
            </w:r>
            <w:r>
              <w:rPr>
                <w:rFonts w:ascii="Times New Roman" w:hAnsi="Times New Roman" w:eastAsia="Times New Roman" w:cs="Times New Roman"/>
                <w:i/>
                <w:color w:val="auto"/>
                <w:sz w:val="20"/>
                <w:szCs w:val="20"/>
                <w:highlight w:val="none"/>
                <w:rtl w:val="0"/>
                <w:lang w:val="uk-UA"/>
              </w:rPr>
              <w:t>ями</w:t>
            </w:r>
            <w:r>
              <w:rPr>
                <w:rFonts w:ascii="Times New Roman" w:hAnsi="Times New Roman" w:eastAsia="Times New Roman" w:cs="Times New Roman"/>
                <w:i/>
                <w:color w:val="auto"/>
                <w:sz w:val="20"/>
                <w:szCs w:val="20"/>
                <w:highlight w:val="none"/>
                <w:rtl w:val="0"/>
              </w:rPr>
              <w:t>, додаткови</w:t>
            </w:r>
            <w:r>
              <w:rPr>
                <w:rFonts w:ascii="Times New Roman" w:hAnsi="Times New Roman" w:eastAsia="Times New Roman" w:cs="Times New Roman"/>
                <w:i/>
                <w:color w:val="auto"/>
                <w:sz w:val="20"/>
                <w:szCs w:val="20"/>
                <w:highlight w:val="none"/>
                <w:rtl w:val="0"/>
                <w:lang w:val="uk-UA"/>
              </w:rPr>
              <w:t>ми</w:t>
            </w:r>
            <w:r>
              <w:rPr>
                <w:rFonts w:ascii="Times New Roman" w:hAnsi="Times New Roman" w:eastAsia="Times New Roman" w:cs="Times New Roman"/>
                <w:i/>
                <w:color w:val="auto"/>
                <w:sz w:val="20"/>
                <w:szCs w:val="20"/>
                <w:highlight w:val="none"/>
                <w:rtl w:val="0"/>
              </w:rPr>
              <w:t xml:space="preserve"> угод</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тощо до аналогічного договору, які зазначені в ньому як невід’ємні частини  договору.</w:t>
            </w:r>
          </w:p>
        </w:tc>
      </w:tr>
      <w:tr>
        <w:tblPrEx>
          <w:tblCellMar>
            <w:top w:w="15" w:type="dxa"/>
            <w:left w:w="15" w:type="dxa"/>
            <w:bottom w:w="15" w:type="dxa"/>
            <w:right w:w="15" w:type="dxa"/>
          </w:tblCellMar>
        </w:tblPrEx>
        <w:trPr>
          <w:trHeight w:val="815" w:hRule="atLeast"/>
          <w:jc w:val="center"/>
        </w:trPr>
        <w:tc>
          <w:tcPr>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Учасник  </w:t>
      </w:r>
      <w:r>
        <w:rPr>
          <w:rFonts w:ascii="Times New Roman" w:hAnsi="Times New Roman" w:eastAsia="Times New Roman" w:cs="Times New Roman"/>
          <w:sz w:val="20"/>
          <w:szCs w:val="20"/>
          <w:highlight w:val="none"/>
          <w:rtl w:val="0"/>
        </w:rPr>
        <w:t xml:space="preserve">повинен надати </w:t>
      </w:r>
      <w:r>
        <w:rPr>
          <w:rFonts w:ascii="Times New Roman" w:hAnsi="Times New Roman" w:eastAsia="Times New Roman" w:cs="Times New Roman"/>
          <w:b/>
          <w:sz w:val="20"/>
          <w:szCs w:val="20"/>
          <w:highlight w:val="none"/>
          <w:rtl w:val="0"/>
        </w:rPr>
        <w:t>довідку у довільній формі</w:t>
      </w:r>
      <w:r>
        <w:rPr>
          <w:rFonts w:ascii="Times New Roman" w:hAnsi="Times New Roman" w:eastAsia="Times New Roman" w:cs="Times New Roman"/>
          <w:sz w:val="20"/>
          <w:szCs w:val="20"/>
          <w:highlight w:val="none"/>
          <w:rtl w:val="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w:t>
      </w:r>
      <w:r>
        <w:rPr>
          <w:rFonts w:ascii="Times New Roman" w:hAnsi="Times New Roman" w:eastAsia="Times New Roman" w:cs="Times New Roman"/>
          <w:sz w:val="20"/>
          <w:szCs w:val="20"/>
          <w:rtl w:val="0"/>
        </w:rPr>
        <w:t>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rtl w:val="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Переможець процедури закупівлі у строк, що </w:t>
      </w:r>
      <w:r>
        <w:rPr>
          <w:rFonts w:ascii="Times New Roman" w:hAnsi="Times New Roman" w:eastAsia="Times New Roman" w:cs="Times New Roman"/>
          <w:b/>
          <w:i/>
          <w:sz w:val="20"/>
          <w:szCs w:val="20"/>
          <w:highlight w:val="white"/>
          <w:rtl w:val="0"/>
        </w:rPr>
        <w:t xml:space="preserve">не перевищує чотири дні </w:t>
      </w:r>
      <w:r>
        <w:rPr>
          <w:rFonts w:ascii="Times New Roman" w:hAnsi="Times New Roman" w:eastAsia="Times New Roman" w:cs="Times New Roman"/>
          <w:sz w:val="20"/>
          <w:szCs w:val="20"/>
          <w:highlight w:val="whit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3"/>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211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sz w:val="20"/>
                <w:szCs w:val="20"/>
              </w:rPr>
            </w:pPr>
          </w:p>
        </w:tc>
      </w:tr>
      <w:tr>
        <w:tblPrEx>
          <w:tblCellMar>
            <w:top w:w="15" w:type="dxa"/>
            <w:left w:w="15" w:type="dxa"/>
            <w:bottom w:w="15" w:type="dxa"/>
            <w:right w:w="15" w:type="dxa"/>
          </w:tblCellMar>
        </w:tblPrEx>
        <w:trPr>
          <w:trHeight w:val="86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Довідка в довільній формі</w:t>
            </w:r>
            <w:r>
              <w:rPr>
                <w:rFonts w:ascii="Times New Roman" w:hAnsi="Times New Roman" w:eastAsia="Times New Roman" w:cs="Times New Roman"/>
                <w:sz w:val="20"/>
                <w:szCs w:val="20"/>
                <w:highlight w:val="whit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4"/>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color w:val="000000"/>
                <w:sz w:val="20"/>
                <w:szCs w:val="20"/>
                <w:rtl w:val="0"/>
              </w:rPr>
              <w:t> </w:t>
            </w:r>
          </w:p>
        </w:tc>
      </w:tr>
      <w:tr>
        <w:tblPrEx>
          <w:tblCellMar>
            <w:top w:w="15" w:type="dxa"/>
            <w:left w:w="15" w:type="dxa"/>
            <w:bottom w:w="15" w:type="dxa"/>
            <w:right w:w="15" w:type="dxa"/>
          </w:tblCellMar>
        </w:tblPrEx>
        <w:trPr>
          <w:trHeight w:val="163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CellMar>
            <w:top w:w="15" w:type="dxa"/>
            <w:left w:w="15" w:type="dxa"/>
            <w:bottom w:w="15" w:type="dxa"/>
            <w:right w:w="15" w:type="dxa"/>
          </w:tblCellMar>
        </w:tblPrEx>
        <w:trPr>
          <w:trHeight w:val="409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sz w:val="20"/>
                <w:szCs w:val="20"/>
                <w:highlight w:val="white"/>
                <w:rtl w:val="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b/>
                <w:sz w:val="20"/>
                <w:szCs w:val="20"/>
                <w:rtl w:val="0"/>
              </w:rPr>
              <w:t>Довідка в довільній формі</w:t>
            </w:r>
            <w:r>
              <w:rPr>
                <w:rFonts w:ascii="Times New Roman" w:hAnsi="Times New Roman" w:eastAsia="Times New Roman" w:cs="Times New Roman"/>
                <w:sz w:val="20"/>
                <w:szCs w:val="20"/>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5"/>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highlight w:val="none"/>
                <w:rtl w:val="0"/>
              </w:rPr>
              <w:t xml:space="preserve">— </w:t>
            </w:r>
            <w:r>
              <w:rPr>
                <w:rFonts w:ascii="Times New Roman" w:hAnsi="Times New Roman" w:eastAsia="Times New Roman" w:cs="Times New Roman"/>
                <w:color w:val="000000"/>
                <w:sz w:val="20"/>
                <w:szCs w:val="20"/>
                <w:highlight w:val="none"/>
                <w:rtl w:val="0"/>
              </w:rPr>
              <w:t>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highlight w:val="none"/>
              </w:rPr>
            </w:pPr>
            <w:r>
              <w:rPr>
                <w:rFonts w:ascii="Times New Roman" w:hAnsi="Times New Roman" w:eastAsia="Times New Roman" w:cs="Times New Roman"/>
                <w:b/>
                <w:color w:val="000000"/>
                <w:sz w:val="20"/>
                <w:szCs w:val="20"/>
                <w:highlight w:val="none"/>
                <w:rtl w:val="0"/>
              </w:rPr>
              <w:t xml:space="preserve">Достовірна інформація у вигляді довідки довільної форми, </w:t>
            </w:r>
            <w:r>
              <w:rPr>
                <w:rFonts w:ascii="Times New Roman" w:hAnsi="Times New Roman" w:eastAsia="Times New Roman" w:cs="Times New Roman"/>
                <w:sz w:val="20"/>
                <w:szCs w:val="20"/>
                <w:highlight w:val="none"/>
                <w:rtl w:val="0"/>
              </w:rPr>
              <w:t>у</w:t>
            </w:r>
            <w:r>
              <w:rPr>
                <w:rFonts w:ascii="Times New Roman" w:hAnsi="Times New Roman" w:eastAsia="Times New Roman" w:cs="Times New Roman"/>
                <w:color w:val="000000"/>
                <w:sz w:val="20"/>
                <w:szCs w:val="20"/>
                <w:highlight w:val="none"/>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w:t>
            </w:r>
            <w:bookmarkStart w:id="1" w:name="_GoBack"/>
            <w:bookmarkEnd w:id="1"/>
            <w:r>
              <w:rPr>
                <w:rFonts w:ascii="Times New Roman" w:hAnsi="Times New Roman" w:eastAsia="Times New Roman" w:cs="Times New Roman"/>
                <w:color w:val="000000"/>
                <w:sz w:val="20"/>
                <w:szCs w:val="20"/>
                <w:highlight w:val="none"/>
                <w:rtl w:val="0"/>
              </w:rPr>
              <w:t xml:space="preserve">ення такого виду діяльності передбачено законом. </w:t>
            </w:r>
            <w:r>
              <w:rPr>
                <w:rFonts w:ascii="Times New Roman" w:hAnsi="Times New Roman" w:eastAsia="Times New Roman" w:cs="Times New Roman"/>
                <w:i/>
                <w:color w:val="000000"/>
                <w:sz w:val="20"/>
                <w:szCs w:val="20"/>
                <w:highlight w:val="none"/>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highlight w:val="none"/>
              </w:rPr>
            </w:pPr>
            <w:r>
              <w:rPr>
                <w:rFonts w:ascii="Times New Roman" w:hAnsi="Times New Roman" w:eastAsia="Times New Roman" w:cs="Times New Roman"/>
                <w:i/>
                <w:color w:val="000000"/>
                <w:sz w:val="20"/>
                <w:szCs w:val="20"/>
                <w:highlight w:val="none"/>
                <w:rtl w:val="0"/>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color w:val="000000"/>
                <w:sz w:val="20"/>
                <w:szCs w:val="20"/>
                <w:lang w:val="uk-UA"/>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eastAsia="Times New Roman" w:cs="Times New Roman"/>
                <w:color w:val="auto"/>
                <w:sz w:val="20"/>
                <w:szCs w:val="20"/>
                <w:highlight w:val="white"/>
                <w:rtl w:val="0"/>
              </w:rPr>
              <w:t xml:space="preserve">Ісламської Республіки Іран </w:t>
            </w:r>
            <w:r>
              <w:rPr>
                <w:rFonts w:ascii="Times New Roman" w:hAnsi="Times New Roman" w:eastAsia="Times New Roman" w:cs="Times New Roman"/>
                <w:color w:val="auto"/>
                <w:sz w:val="20"/>
                <w:szCs w:val="20"/>
                <w:rtl w:val="0"/>
              </w:rPr>
              <w:t>та проживає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Ухвалу слідчого судді, суду, щодо арешту активів,</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а також:</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ABC7E7F"/>
    <w:rsid w:val="255F18D0"/>
    <w:rsid w:val="5E823AE8"/>
    <w:rsid w:val="72AA1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semiHidden/>
    <w:unhideWhenUsed/>
    <w:qFormat/>
    <w:uiPriority w:val="99"/>
    <w:rPr>
      <w:color w:val="0000FF"/>
      <w:u w:val="single"/>
    </w:rPr>
  </w:style>
  <w:style w:type="paragraph" w:styleId="11">
    <w:name w:val="Title"/>
    <w:basedOn w:val="1"/>
    <w:next w:val="1"/>
    <w:qFormat/>
    <w:uiPriority w:val="1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tblPr>
      <w:tblCellMar>
        <w:top w:w="0" w:type="dxa"/>
        <w:left w:w="0" w:type="dxa"/>
        <w:bottom w:w="0" w:type="dxa"/>
        <w:right w:w="0" w:type="dxa"/>
      </w:tblCellMar>
    </w:tblPr>
  </w:style>
  <w:style w:type="character" w:customStyle="1" w:styleId="15">
    <w:name w:val="apple-tab-span"/>
    <w:basedOn w:val="8"/>
    <w:qFormat/>
    <w:uiPriority w:val="0"/>
  </w:style>
  <w:style w:type="paragraph" w:styleId="16">
    <w:name w:val="List Paragraph"/>
    <w:basedOn w:val="1"/>
    <w:qFormat/>
    <w:uiPriority w:val="34"/>
    <w:pPr>
      <w:ind w:left="720"/>
      <w:contextualSpacing/>
    </w:pPr>
  </w:style>
  <w:style w:type="table" w:customStyle="1" w:styleId="17">
    <w:name w:val="_Style 26"/>
    <w:basedOn w:val="14"/>
    <w:qFormat/>
    <w:uiPriority w:val="0"/>
    <w:tblPr>
      <w:tblCellMar>
        <w:top w:w="15" w:type="dxa"/>
        <w:left w:w="15" w:type="dxa"/>
        <w:bottom w:w="15" w:type="dxa"/>
        <w:right w:w="15" w:type="dxa"/>
      </w:tblCellMar>
    </w:tblPr>
  </w:style>
  <w:style w:type="table" w:customStyle="1" w:styleId="18">
    <w:name w:val="_Style 27"/>
    <w:basedOn w:val="14"/>
    <w:qFormat/>
    <w:uiPriority w:val="0"/>
    <w:tblPr>
      <w:tblCellMar>
        <w:top w:w="15" w:type="dxa"/>
        <w:left w:w="15" w:type="dxa"/>
        <w:bottom w:w="15" w:type="dxa"/>
        <w:right w:w="15" w:type="dxa"/>
      </w:tblCellMar>
    </w:tblPr>
  </w:style>
  <w:style w:type="table" w:customStyle="1" w:styleId="19">
    <w:name w:val="_Style 28"/>
    <w:basedOn w:val="14"/>
    <w:qFormat/>
    <w:uiPriority w:val="0"/>
    <w:tblPr>
      <w:tblCellMar>
        <w:top w:w="15" w:type="dxa"/>
        <w:left w:w="15" w:type="dxa"/>
        <w:bottom w:w="15" w:type="dxa"/>
        <w:right w:w="15" w:type="dxa"/>
      </w:tblCellMar>
    </w:tblPr>
  </w:style>
  <w:style w:type="table" w:customStyle="1" w:styleId="20">
    <w:name w:val="_Style 29"/>
    <w:basedOn w:val="14"/>
    <w:qFormat/>
    <w:uiPriority w:val="0"/>
    <w:tblPr>
      <w:tblCellMar>
        <w:top w:w="15" w:type="dxa"/>
        <w:left w:w="15" w:type="dxa"/>
        <w:bottom w:w="15" w:type="dxa"/>
        <w:right w:w="15" w:type="dxa"/>
      </w:tblCellMar>
    </w:tblPr>
  </w:style>
  <w:style w:type="table" w:customStyle="1" w:styleId="21">
    <w:name w:val="_Style 30"/>
    <w:basedOn w:val="14"/>
    <w:qFormat/>
    <w:uiPriority w:val="0"/>
    <w:tblPr>
      <w:tblCellMar>
        <w:top w:w="15" w:type="dxa"/>
        <w:left w:w="15" w:type="dxa"/>
        <w:bottom w:w="15" w:type="dxa"/>
        <w:right w:w="15" w:type="dxa"/>
      </w:tblCellMar>
    </w:tblPr>
  </w:style>
  <w:style w:type="table" w:customStyle="1" w:styleId="22">
    <w:name w:val="_Style 31"/>
    <w:basedOn w:val="14"/>
    <w:qFormat/>
    <w:uiPriority w:val="0"/>
    <w:tblPr>
      <w:tblCellMar>
        <w:top w:w="15" w:type="dxa"/>
        <w:left w:w="15" w:type="dxa"/>
        <w:bottom w:w="15" w:type="dxa"/>
        <w:right w:w="15" w:type="dxa"/>
      </w:tblCellMar>
    </w:tblPr>
  </w:style>
  <w:style w:type="table" w:customStyle="1" w:styleId="23">
    <w:name w:val="_Style 32"/>
    <w:basedOn w:val="14"/>
    <w:qFormat/>
    <w:uiPriority w:val="0"/>
    <w:tblPr>
      <w:tblCellMar>
        <w:top w:w="15" w:type="dxa"/>
        <w:left w:w="15" w:type="dxa"/>
        <w:bottom w:w="15" w:type="dxa"/>
        <w:right w:w="15" w:type="dxa"/>
      </w:tblCellMar>
    </w:tblPr>
  </w:style>
  <w:style w:type="paragraph" w:customStyle="1" w:styleId="24">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35"/>
    <w:basedOn w:val="14"/>
    <w:qFormat/>
    <w:uiPriority w:val="0"/>
    <w:tblPr>
      <w:tblCellMar>
        <w:top w:w="15" w:type="dxa"/>
        <w:left w:w="15" w:type="dxa"/>
        <w:bottom w:w="15" w:type="dxa"/>
        <w:right w:w="15" w:type="dxa"/>
      </w:tblCellMar>
    </w:tblPr>
  </w:style>
  <w:style w:type="table" w:customStyle="1" w:styleId="27">
    <w:name w:val="_Style 36"/>
    <w:basedOn w:val="14"/>
    <w:qFormat/>
    <w:uiPriority w:val="0"/>
    <w:tblPr>
      <w:tblCellMar>
        <w:top w:w="15" w:type="dxa"/>
        <w:left w:w="15" w:type="dxa"/>
        <w:bottom w:w="15" w:type="dxa"/>
        <w:right w:w="15" w:type="dxa"/>
      </w:tblCellMar>
    </w:tblPr>
  </w:style>
  <w:style w:type="table" w:customStyle="1" w:styleId="28">
    <w:name w:val="_Style 37"/>
    <w:basedOn w:val="14"/>
    <w:qFormat/>
    <w:uiPriority w:val="0"/>
    <w:tblPr>
      <w:tblCellMar>
        <w:top w:w="15" w:type="dxa"/>
        <w:left w:w="15" w:type="dxa"/>
        <w:bottom w:w="15" w:type="dxa"/>
        <w:right w:w="15" w:type="dxa"/>
      </w:tblCellMar>
    </w:tblPr>
  </w:style>
  <w:style w:type="table" w:customStyle="1" w:styleId="29">
    <w:name w:val="_Style 38"/>
    <w:basedOn w:val="14"/>
    <w:qFormat/>
    <w:uiPriority w:val="0"/>
    <w:tblPr>
      <w:tblCellMar>
        <w:top w:w="15" w:type="dxa"/>
        <w:left w:w="15" w:type="dxa"/>
        <w:bottom w:w="15" w:type="dxa"/>
        <w:right w:w="15" w:type="dxa"/>
      </w:tblCellMar>
    </w:tblPr>
  </w:style>
  <w:style w:type="table" w:customStyle="1" w:styleId="30">
    <w:name w:val="_Style 39"/>
    <w:basedOn w:val="14"/>
    <w:qFormat/>
    <w:uiPriority w:val="0"/>
    <w:tblPr>
      <w:tblCellMar>
        <w:top w:w="15" w:type="dxa"/>
        <w:left w:w="15" w:type="dxa"/>
        <w:bottom w:w="15" w:type="dxa"/>
        <w:right w:w="15" w:type="dxa"/>
      </w:tblCellMar>
    </w:tblPr>
  </w:style>
  <w:style w:type="table" w:customStyle="1" w:styleId="31">
    <w:name w:val="_Style 41"/>
    <w:basedOn w:val="14"/>
    <w:qFormat/>
    <w:uiPriority w:val="0"/>
    <w:tblPr>
      <w:tblCellMar>
        <w:top w:w="15" w:type="dxa"/>
        <w:left w:w="15" w:type="dxa"/>
        <w:bottom w:w="15" w:type="dxa"/>
        <w:right w:w="15" w:type="dxa"/>
      </w:tblCellMar>
    </w:tblPr>
  </w:style>
  <w:style w:type="table" w:customStyle="1" w:styleId="32">
    <w:name w:val="_Style 42"/>
    <w:basedOn w:val="14"/>
    <w:qFormat/>
    <w:uiPriority w:val="0"/>
    <w:tblPr>
      <w:tblCellMar>
        <w:top w:w="15" w:type="dxa"/>
        <w:left w:w="15" w:type="dxa"/>
        <w:bottom w:w="15" w:type="dxa"/>
        <w:right w:w="15" w:type="dxa"/>
      </w:tblCellMar>
    </w:tblPr>
  </w:style>
  <w:style w:type="table" w:customStyle="1" w:styleId="33">
    <w:name w:val="_Style 43"/>
    <w:basedOn w:val="14"/>
    <w:qFormat/>
    <w:uiPriority w:val="0"/>
    <w:tblPr>
      <w:tblCellMar>
        <w:top w:w="15" w:type="dxa"/>
        <w:left w:w="15" w:type="dxa"/>
        <w:bottom w:w="15" w:type="dxa"/>
        <w:right w:w="15" w:type="dxa"/>
      </w:tblCellMar>
    </w:tblPr>
  </w:style>
  <w:style w:type="table" w:customStyle="1" w:styleId="34">
    <w:name w:val="_Style 44"/>
    <w:basedOn w:val="14"/>
    <w:qFormat/>
    <w:uiPriority w:val="0"/>
    <w:tblPr>
      <w:tblCellMar>
        <w:top w:w="15" w:type="dxa"/>
        <w:left w:w="15" w:type="dxa"/>
        <w:bottom w:w="15" w:type="dxa"/>
        <w:right w:w="15" w:type="dxa"/>
      </w:tblCellMar>
    </w:tblPr>
  </w:style>
  <w:style w:type="table" w:customStyle="1" w:styleId="35">
    <w:name w:val="_Style 45"/>
    <w:basedOn w:val="14"/>
    <w:qFormat/>
    <w:uiPriority w:val="0"/>
    <w:tblPr>
      <w:tblCellMar>
        <w:top w:w="15" w:type="dxa"/>
        <w:left w:w="15" w:type="dxa"/>
        <w:bottom w:w="15" w:type="dxa"/>
        <w:right w:w="15" w:type="dxa"/>
      </w:tblCellMar>
    </w:tblPr>
  </w:style>
  <w:style w:type="table" w:customStyle="1" w:styleId="36">
    <w:name w:val="_Style 46"/>
    <w:basedOn w:val="14"/>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34</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Oksana</cp:lastModifiedBy>
  <dcterms:modified xsi:type="dcterms:W3CDTF">2024-03-14T11:56:48Z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71FD2261FCEE4FD4BA8752C63BC6C72D_12</vt:lpwstr>
  </property>
</Properties>
</file>