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CEBC" w14:textId="77777777"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Додаток 2</w:t>
      </w:r>
    </w:p>
    <w:p w14:paraId="4215E9D9" w14:textId="77777777"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до договору про постачання (закупівлю) електричної енергії</w:t>
      </w:r>
    </w:p>
    <w:p w14:paraId="5DB904B8" w14:textId="43D88B55"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№_____________</w:t>
      </w:r>
      <w:r>
        <w:rPr>
          <w:rFonts w:ascii="Times New Roman" w:eastAsia="Times New Roman" w:hAnsi="Times New Roman" w:cs="Times New Roman"/>
          <w:sz w:val="21"/>
          <w:szCs w:val="21"/>
          <w:lang w:val="uk-UA" w:eastAsia="ru-RU"/>
        </w:rPr>
        <w:t>від_________</w:t>
      </w:r>
    </w:p>
    <w:p w14:paraId="1DF6ED59"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p>
    <w:p w14:paraId="24FC3564"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Комерційна пропозиція </w:t>
      </w:r>
    </w:p>
    <w:p w14:paraId="7A9910CC" w14:textId="3E807DB4" w:rsidR="00417FCF" w:rsidRDefault="00417FCF" w:rsidP="00417FCF">
      <w:pPr>
        <w:spacing w:after="0" w:line="240" w:lineRule="auto"/>
        <w:rPr>
          <w:rFonts w:ascii="Times New Roman" w:eastAsia="Times New Roman" w:hAnsi="Times New Roman" w:cs="Times New Roman"/>
          <w:b/>
          <w:sz w:val="21"/>
          <w:szCs w:val="21"/>
          <w:lang w:val="uk-UA" w:eastAsia="ru-RU"/>
        </w:rPr>
      </w:pPr>
    </w:p>
    <w:p w14:paraId="0D1EF8C1" w14:textId="6263260D"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постачальника електричної енергії </w:t>
      </w:r>
      <w:r>
        <w:rPr>
          <w:rFonts w:ascii="Times New Roman" w:eastAsia="Times New Roman" w:hAnsi="Times New Roman" w:cs="Times New Roman"/>
          <w:sz w:val="21"/>
          <w:szCs w:val="21"/>
          <w:lang w:val="uk-UA" w:eastAsia="ru-RU"/>
        </w:rPr>
        <w:t>___________________________________________________</w:t>
      </w:r>
    </w:p>
    <w:p w14:paraId="10B79B64"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p>
    <w:p w14:paraId="59618613" w14:textId="3713C951"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Ціна на електричну енергію для розрахункового періоду.</w:t>
      </w:r>
    </w:p>
    <w:p w14:paraId="0D616D55" w14:textId="7B6723A1" w:rsidR="00417FCF" w:rsidRDefault="00417FCF" w:rsidP="00417FCF">
      <w:pPr>
        <w:pStyle w:val="a7"/>
        <w:numPr>
          <w:ilvl w:val="1"/>
          <w:numId w:val="2"/>
        </w:numPr>
        <w:spacing w:after="0" w:line="240" w:lineRule="auto"/>
        <w:ind w:left="0" w:firstLine="0"/>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val="uk-UA" w:eastAsia="ru-RU"/>
        </w:rPr>
        <w:t xml:space="preserve">На момент укладення договору ціна за 1 </w:t>
      </w:r>
      <w:proofErr w:type="spellStart"/>
      <w:r>
        <w:rPr>
          <w:rFonts w:ascii="Times New Roman" w:eastAsia="Times New Roman" w:hAnsi="Times New Roman" w:cs="Times New Roman"/>
          <w:sz w:val="21"/>
          <w:szCs w:val="21"/>
          <w:lang w:val="uk-UA" w:eastAsia="ru-RU"/>
        </w:rPr>
        <w:t>кВт.год</w:t>
      </w:r>
      <w:proofErr w:type="spellEnd"/>
      <w:r>
        <w:rPr>
          <w:rFonts w:ascii="Times New Roman" w:eastAsia="Times New Roman" w:hAnsi="Times New Roman" w:cs="Times New Roman"/>
          <w:sz w:val="21"/>
          <w:szCs w:val="21"/>
          <w:lang w:val="uk-UA" w:eastAsia="ru-RU"/>
        </w:rPr>
        <w:t xml:space="preserve"> електричної енергії сформована за результатами проведених процедур закупівлі та становить </w:t>
      </w:r>
      <w:r>
        <w:rPr>
          <w:rFonts w:ascii="Times New Roman" w:eastAsia="Times New Roman" w:hAnsi="Times New Roman" w:cs="Times New Roman"/>
          <w:b/>
          <w:bCs/>
          <w:color w:val="FF0000"/>
          <w:sz w:val="21"/>
          <w:szCs w:val="21"/>
          <w:lang w:val="uk-UA" w:eastAsia="ru-RU"/>
        </w:rPr>
        <w:t>______________</w:t>
      </w:r>
      <w:r>
        <w:rPr>
          <w:rFonts w:ascii="Times New Roman" w:eastAsia="Times New Roman" w:hAnsi="Times New Roman" w:cs="Times New Roman"/>
          <w:sz w:val="21"/>
          <w:szCs w:val="21"/>
          <w:lang w:val="uk-UA" w:eastAsia="ru-RU"/>
        </w:rPr>
        <w:t>грн. без ПДВ.</w:t>
      </w:r>
    </w:p>
    <w:p w14:paraId="6DAC14F7" w14:textId="77777777"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Ціна сформована з урахуванням середньозважених цін на електроенергію на ринку "на добу наперед", регульованих цін на послуги оператора системи </w:t>
      </w:r>
      <w:r>
        <w:rPr>
          <w:rFonts w:ascii="Times New Roman" w:eastAsia="Times New Roman" w:hAnsi="Times New Roman" w:cs="Times New Roman"/>
          <w:color w:val="FF0000"/>
          <w:sz w:val="21"/>
          <w:szCs w:val="21"/>
          <w:lang w:val="uk-UA" w:eastAsia="ru-RU"/>
        </w:rPr>
        <w:t>передачі.</w:t>
      </w:r>
    </w:p>
    <w:p w14:paraId="7DAD45AE" w14:textId="77777777" w:rsidR="00417FCF" w:rsidRDefault="00417FCF" w:rsidP="00417FCF">
      <w:pPr>
        <w:spacing w:before="120" w:after="0" w:line="240" w:lineRule="auto"/>
        <w:jc w:val="both"/>
        <w:rPr>
          <w:rFonts w:ascii="Times New Roman" w:eastAsia="Times New Roman" w:hAnsi="Times New Roman" w:cs="Times New Roman"/>
          <w:b/>
          <w:color w:val="000000" w:themeColor="text1"/>
          <w:sz w:val="21"/>
          <w:szCs w:val="21"/>
          <w:lang w:val="uk-UA" w:eastAsia="ru-RU"/>
        </w:rPr>
      </w:pPr>
      <w:r>
        <w:rPr>
          <w:rFonts w:ascii="Times New Roman" w:eastAsia="Times New Roman" w:hAnsi="Times New Roman" w:cs="Times New Roman"/>
          <w:b/>
          <w:color w:val="000000" w:themeColor="text1"/>
          <w:sz w:val="21"/>
          <w:szCs w:val="21"/>
          <w:lang w:val="uk-UA" w:eastAsia="ru-RU"/>
        </w:rPr>
        <w:t xml:space="preserve">1.2 Механізм регулювання ціни. </w:t>
      </w:r>
    </w:p>
    <w:p w14:paraId="7B573173" w14:textId="77777777" w:rsidR="00417FCF" w:rsidRDefault="00417FCF" w:rsidP="00417FCF">
      <w:pPr>
        <w:spacing w:after="0" w:line="240" w:lineRule="auto"/>
        <w:jc w:val="both"/>
        <w:rPr>
          <w:rFonts w:ascii="Times New Roman" w:eastAsia="Times New Roman" w:hAnsi="Times New Roman" w:cs="Times New Roman"/>
          <w:color w:val="000000" w:themeColor="text1"/>
          <w:sz w:val="21"/>
          <w:szCs w:val="21"/>
          <w:lang w:val="uk-UA" w:eastAsia="ru-RU"/>
        </w:rPr>
      </w:pPr>
      <w:r>
        <w:rPr>
          <w:rFonts w:ascii="Times New Roman" w:eastAsia="Times New Roman" w:hAnsi="Times New Roman" w:cs="Times New Roman"/>
          <w:color w:val="000000" w:themeColor="text1"/>
          <w:sz w:val="21"/>
          <w:szCs w:val="21"/>
          <w:lang w:val="uk-UA" w:eastAsia="ru-RU"/>
        </w:rPr>
        <w:t>Ціна за одиницю товару для кожного календарного (звітного) місяця розраховується за формулою:</w:t>
      </w:r>
    </w:p>
    <w:p w14:paraId="5B10F1C0" w14:textId="77777777" w:rsidR="00417FCF" w:rsidRDefault="00417FCF" w:rsidP="00417FCF">
      <w:pPr>
        <w:pStyle w:val="a7"/>
        <w:spacing w:after="0" w:line="240" w:lineRule="auto"/>
        <w:ind w:left="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Ц = С</w:t>
      </w:r>
      <w:r>
        <w:rPr>
          <w:rFonts w:ascii="Times New Roman" w:eastAsia="Times New Roman" w:hAnsi="Times New Roman" w:cs="Times New Roman"/>
          <w:b/>
          <w:sz w:val="21"/>
          <w:szCs w:val="21"/>
          <w:vertAlign w:val="subscript"/>
          <w:lang w:val="uk-UA" w:eastAsia="ru-RU"/>
        </w:rPr>
        <w:t xml:space="preserve">РДН </w:t>
      </w:r>
      <w:r>
        <w:rPr>
          <w:rFonts w:ascii="Times New Roman" w:eastAsia="Times New Roman" w:hAnsi="Times New Roman" w:cs="Times New Roman"/>
          <w:b/>
          <w:sz w:val="21"/>
          <w:szCs w:val="21"/>
          <w:lang w:val="uk-UA" w:eastAsia="ru-RU"/>
        </w:rPr>
        <w:t>+ Т + П,</w:t>
      </w:r>
      <w:r>
        <w:rPr>
          <w:rFonts w:ascii="Times New Roman" w:eastAsia="Times New Roman" w:hAnsi="Times New Roman" w:cs="Times New Roman"/>
          <w:sz w:val="21"/>
          <w:szCs w:val="21"/>
          <w:lang w:val="uk-UA" w:eastAsia="ru-RU"/>
        </w:rPr>
        <w:t xml:space="preserve"> де:</w:t>
      </w:r>
    </w:p>
    <w:p w14:paraId="34173F06" w14:textId="1F144FD5" w:rsidR="00417FCF" w:rsidRDefault="00417FCF" w:rsidP="00417FCF">
      <w:pPr>
        <w:pStyle w:val="a7"/>
        <w:spacing w:before="12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С</w:t>
      </w:r>
      <w:r>
        <w:rPr>
          <w:rFonts w:ascii="Times New Roman" w:eastAsia="Times New Roman" w:hAnsi="Times New Roman" w:cs="Times New Roman"/>
          <w:b/>
          <w:sz w:val="21"/>
          <w:szCs w:val="21"/>
          <w:vertAlign w:val="subscript"/>
          <w:lang w:val="uk-UA" w:eastAsia="ru-RU"/>
        </w:rPr>
        <w:t>РДН</w:t>
      </w:r>
      <w:r>
        <w:rPr>
          <w:rFonts w:ascii="Times New Roman" w:eastAsia="Times New Roman" w:hAnsi="Times New Roman" w:cs="Times New Roman"/>
          <w:b/>
          <w:sz w:val="21"/>
          <w:szCs w:val="21"/>
          <w:lang w:val="uk-UA" w:eastAsia="ru-RU"/>
        </w:rPr>
        <w:t xml:space="preserve"> – </w:t>
      </w:r>
      <w:r>
        <w:rPr>
          <w:rFonts w:ascii="Times New Roman" w:eastAsia="Times New Roman" w:hAnsi="Times New Roman" w:cs="Times New Roman"/>
          <w:bCs/>
          <w:sz w:val="21"/>
          <w:szCs w:val="21"/>
          <w:lang w:val="uk-UA" w:eastAsia="ru-RU"/>
        </w:rPr>
        <w:t xml:space="preserve">середньозважена </w:t>
      </w:r>
      <w:r>
        <w:rPr>
          <w:rFonts w:ascii="Times New Roman" w:eastAsia="Times New Roman" w:hAnsi="Times New Roman" w:cs="Times New Roman"/>
          <w:sz w:val="21"/>
          <w:szCs w:val="21"/>
          <w:lang w:val="uk-UA" w:eastAsia="ru-RU"/>
        </w:rPr>
        <w:t xml:space="preserve">ціна на електроенергію на ринку «на добу наперед», яка визначається за даними опублікованими Оператором ринку на його офіційному сайті </w:t>
      </w:r>
      <w:hyperlink r:id="rId5" w:history="1">
        <w:r>
          <w:rPr>
            <w:rStyle w:val="a3"/>
            <w:sz w:val="21"/>
            <w:szCs w:val="21"/>
          </w:rPr>
          <w:t>https://www.oree.com.ua/index.php/indexes</w:t>
        </w:r>
      </w:hyperlink>
      <w:r>
        <w:rPr>
          <w:rFonts w:ascii="Times New Roman" w:eastAsia="Times New Roman" w:hAnsi="Times New Roman" w:cs="Times New Roman"/>
          <w:sz w:val="21"/>
          <w:szCs w:val="21"/>
          <w:lang w:val="uk-UA" w:eastAsia="ru-RU"/>
        </w:rPr>
        <w:t xml:space="preserve">,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Pr>
          <w:rFonts w:ascii="Times New Roman" w:eastAsia="Times New Roman" w:hAnsi="Times New Roman" w:cs="Times New Roman"/>
          <w:color w:val="FF0000"/>
          <w:sz w:val="21"/>
          <w:szCs w:val="21"/>
          <w:lang w:val="uk-UA" w:eastAsia="ru-RU"/>
        </w:rPr>
        <w:t>______________</w:t>
      </w:r>
      <w:r>
        <w:rPr>
          <w:rFonts w:ascii="Times New Roman" w:eastAsia="Times New Roman" w:hAnsi="Times New Roman" w:cs="Times New Roman"/>
          <w:color w:val="FF0000"/>
          <w:sz w:val="21"/>
          <w:szCs w:val="21"/>
          <w:lang w:val="uk-UA" w:eastAsia="ru-RU"/>
        </w:rPr>
        <w:t xml:space="preserve"> </w:t>
      </w:r>
      <w:r>
        <w:rPr>
          <w:rFonts w:ascii="Times New Roman" w:eastAsia="Times New Roman" w:hAnsi="Times New Roman" w:cs="Times New Roman"/>
          <w:sz w:val="21"/>
          <w:szCs w:val="21"/>
          <w:lang w:val="uk-UA" w:eastAsia="ru-RU"/>
        </w:rPr>
        <w:t>грн/кВт*год без ПДВ;</w:t>
      </w:r>
    </w:p>
    <w:p w14:paraId="7AD98EB6" w14:textId="6926C1F8"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 xml:space="preserve">Т – </w:t>
      </w:r>
      <w:r>
        <w:rPr>
          <w:rFonts w:ascii="Times New Roman" w:eastAsia="Times New Roman" w:hAnsi="Times New Roman" w:cs="Times New Roman"/>
          <w:sz w:val="21"/>
          <w:szCs w:val="21"/>
          <w:lang w:val="uk-UA" w:eastAsia="ru-RU"/>
        </w:rPr>
        <w:t>ціна (тариф) послуг оператора системи передачі (</w:t>
      </w:r>
      <w:r>
        <w:rPr>
          <w:rFonts w:ascii="Times New Roman" w:hAnsi="Times New Roman" w:cs="Times New Roman"/>
          <w:sz w:val="21"/>
          <w:szCs w:val="21"/>
          <w:lang w:val="uk-UA"/>
        </w:rPr>
        <w:t>регульована ціна</w:t>
      </w:r>
      <w:r>
        <w:rPr>
          <w:rFonts w:ascii="Times New Roman" w:eastAsia="Times New Roman" w:hAnsi="Times New Roman" w:cs="Times New Roman"/>
          <w:sz w:val="21"/>
          <w:szCs w:val="21"/>
          <w:lang w:val="uk-UA" w:eastAsia="ru-RU"/>
        </w:rPr>
        <w:t xml:space="preserve">), за результатами торгів складає </w:t>
      </w:r>
      <w:r>
        <w:rPr>
          <w:rFonts w:ascii="Times New Roman" w:eastAsia="Times New Roman" w:hAnsi="Times New Roman" w:cs="Times New Roman"/>
          <w:color w:val="FF0000"/>
          <w:sz w:val="21"/>
          <w:szCs w:val="21"/>
          <w:lang w:val="uk-UA" w:eastAsia="ru-RU"/>
        </w:rPr>
        <w:t>________________</w:t>
      </w:r>
      <w:r>
        <w:rPr>
          <w:rFonts w:ascii="Times New Roman" w:eastAsia="Times New Roman" w:hAnsi="Times New Roman" w:cs="Times New Roman"/>
          <w:color w:val="FF0000"/>
          <w:sz w:val="21"/>
          <w:szCs w:val="21"/>
          <w:lang w:val="uk-UA" w:eastAsia="ru-RU"/>
        </w:rPr>
        <w:t xml:space="preserve"> </w:t>
      </w:r>
      <w:r>
        <w:rPr>
          <w:rFonts w:ascii="Times New Roman" w:eastAsia="Times New Roman" w:hAnsi="Times New Roman" w:cs="Times New Roman"/>
          <w:sz w:val="21"/>
          <w:szCs w:val="21"/>
          <w:lang w:val="uk-UA" w:eastAsia="ru-RU"/>
        </w:rPr>
        <w:t>грн/кВт*год без ПДВ;</w:t>
      </w:r>
    </w:p>
    <w:p w14:paraId="0744CB8A" w14:textId="561048ED"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 xml:space="preserve">П – </w:t>
      </w:r>
      <w:r>
        <w:rPr>
          <w:rFonts w:ascii="Times New Roman" w:eastAsia="Times New Roman" w:hAnsi="Times New Roman" w:cs="Times New Roman"/>
          <w:sz w:val="21"/>
          <w:szCs w:val="21"/>
          <w:lang w:val="uk-UA" w:eastAsia="ru-RU"/>
        </w:rPr>
        <w:t>ціна послуг постачання, пов’язаних з постачанням</w:t>
      </w:r>
      <w:r>
        <w:rPr>
          <w:rFonts w:ascii="Times New Roman" w:eastAsia="Times New Roman" w:hAnsi="Times New Roman" w:cs="Times New Roman"/>
          <w:b/>
          <w:sz w:val="21"/>
          <w:szCs w:val="21"/>
          <w:lang w:val="uk-UA" w:eastAsia="ru-RU"/>
        </w:rPr>
        <w:t xml:space="preserve"> </w:t>
      </w:r>
      <w:r>
        <w:rPr>
          <w:rFonts w:ascii="Times New Roman" w:eastAsia="Times New Roman" w:hAnsi="Times New Roman" w:cs="Times New Roman"/>
          <w:sz w:val="21"/>
          <w:szCs w:val="21"/>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Pr>
          <w:rFonts w:ascii="Times New Roman" w:eastAsia="Times New Roman" w:hAnsi="Times New Roman" w:cs="Times New Roman"/>
          <w:color w:val="FF0000"/>
          <w:sz w:val="21"/>
          <w:szCs w:val="21"/>
          <w:u w:val="single"/>
          <w:lang w:val="uk-UA" w:eastAsia="ru-RU"/>
        </w:rPr>
        <w:t>_____________</w:t>
      </w:r>
      <w:r>
        <w:rPr>
          <w:rFonts w:ascii="Times New Roman" w:eastAsia="Times New Roman" w:hAnsi="Times New Roman" w:cs="Times New Roman"/>
          <w:color w:val="FF0000"/>
          <w:sz w:val="21"/>
          <w:szCs w:val="21"/>
          <w:u w:val="single"/>
          <w:lang w:val="uk-UA" w:eastAsia="ru-RU"/>
        </w:rPr>
        <w:t xml:space="preserve"> </w:t>
      </w:r>
      <w:r>
        <w:rPr>
          <w:rFonts w:ascii="Times New Roman" w:eastAsia="Times New Roman" w:hAnsi="Times New Roman" w:cs="Times New Roman"/>
          <w:sz w:val="21"/>
          <w:szCs w:val="21"/>
          <w:lang w:val="uk-UA" w:eastAsia="ru-RU"/>
        </w:rPr>
        <w:t>грн/кВт*год без ПДВ.</w:t>
      </w:r>
    </w:p>
    <w:p w14:paraId="75412480" w14:textId="77777777" w:rsidR="00417FCF" w:rsidRDefault="00417FCF" w:rsidP="00417FCF">
      <w:pPr>
        <w:pStyle w:val="a7"/>
        <w:numPr>
          <w:ilvl w:val="2"/>
          <w:numId w:val="3"/>
        </w:numPr>
        <w:tabs>
          <w:tab w:val="left" w:pos="1134"/>
        </w:tabs>
        <w:spacing w:before="120" w:after="0" w:line="240" w:lineRule="auto"/>
        <w:ind w:left="425" w:firstLine="0"/>
        <w:jc w:val="both"/>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color w:val="000000" w:themeColor="text1"/>
          <w:sz w:val="21"/>
          <w:szCs w:val="21"/>
          <w:lang w:val="uk-UA" w:eastAsia="ru-RU"/>
        </w:rPr>
        <w:t xml:space="preserve">Постачальник здійснює коригування ціни шляхом збільшення/зменшення відповідної регульованої складової </w:t>
      </w:r>
      <w:r>
        <w:rPr>
          <w:rFonts w:ascii="Times New Roman" w:eastAsia="Times New Roman" w:hAnsi="Times New Roman" w:cs="Times New Roman"/>
          <w:b/>
          <w:color w:val="000000" w:themeColor="text1"/>
          <w:sz w:val="21"/>
          <w:szCs w:val="21"/>
          <w:lang w:val="uk-UA" w:eastAsia="ru-RU"/>
        </w:rPr>
        <w:t xml:space="preserve">Т </w:t>
      </w:r>
      <w:r>
        <w:rPr>
          <w:rFonts w:ascii="Times New Roman" w:eastAsia="Times New Roman" w:hAnsi="Times New Roman" w:cs="Times New Roman"/>
          <w:bCs/>
          <w:color w:val="000000" w:themeColor="text1"/>
          <w:sz w:val="21"/>
          <w:szCs w:val="21"/>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r>
        <w:rPr>
          <w:rFonts w:ascii="Times New Roman" w:eastAsia="Times New Roman" w:hAnsi="Times New Roman" w:cs="Times New Roman"/>
          <w:bCs/>
          <w:sz w:val="21"/>
          <w:szCs w:val="21"/>
          <w:lang w:val="uk-UA" w:eastAsia="ru-RU"/>
        </w:rPr>
        <w:t>;</w:t>
      </w:r>
    </w:p>
    <w:p w14:paraId="5F224B9E" w14:textId="77777777" w:rsidR="00417FCF" w:rsidRDefault="00417FCF" w:rsidP="00417FCF">
      <w:pPr>
        <w:pStyle w:val="a7"/>
        <w:numPr>
          <w:ilvl w:val="2"/>
          <w:numId w:val="3"/>
        </w:numPr>
        <w:tabs>
          <w:tab w:val="left" w:pos="1134"/>
        </w:tabs>
        <w:spacing w:before="120" w:after="0" w:line="240" w:lineRule="auto"/>
        <w:ind w:left="425" w:firstLine="0"/>
        <w:jc w:val="both"/>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iCs/>
          <w:color w:val="000000" w:themeColor="text1"/>
          <w:sz w:val="21"/>
          <w:szCs w:val="21"/>
          <w:lang w:val="uk-UA" w:eastAsia="ru-RU"/>
        </w:rPr>
        <w:t xml:space="preserve">Постачальник </w:t>
      </w:r>
      <w:r>
        <w:rPr>
          <w:rFonts w:ascii="Times New Roman" w:eastAsia="Times New Roman" w:hAnsi="Times New Roman" w:cs="Times New Roman"/>
          <w:bCs/>
          <w:color w:val="000000" w:themeColor="text1"/>
          <w:sz w:val="21"/>
          <w:szCs w:val="21"/>
          <w:lang w:val="uk-UA" w:eastAsia="ru-RU"/>
        </w:rPr>
        <w:t>здійснює коригування ціни шляхом збільшення/зменшення відповідної складової</w:t>
      </w:r>
      <w:r>
        <w:rPr>
          <w:rFonts w:ascii="Times New Roman" w:eastAsia="Times New Roman" w:hAnsi="Times New Roman" w:cs="Times New Roman"/>
          <w:bCs/>
          <w:iCs/>
          <w:color w:val="000000" w:themeColor="text1"/>
          <w:sz w:val="21"/>
          <w:szCs w:val="21"/>
          <w:lang w:val="uk-UA" w:eastAsia="ru-RU"/>
        </w:rPr>
        <w:t xml:space="preserve"> </w:t>
      </w:r>
      <w:proofErr w:type="spellStart"/>
      <w:r>
        <w:rPr>
          <w:rFonts w:ascii="Times New Roman" w:eastAsia="Times New Roman" w:hAnsi="Times New Roman" w:cs="Times New Roman"/>
          <w:b/>
          <w:iCs/>
          <w:color w:val="000000" w:themeColor="text1"/>
          <w:sz w:val="21"/>
          <w:szCs w:val="21"/>
          <w:lang w:val="uk-UA" w:eastAsia="ru-RU"/>
        </w:rPr>
        <w:t>Срдн</w:t>
      </w:r>
      <w:proofErr w:type="spellEnd"/>
      <w:r>
        <w:rPr>
          <w:rFonts w:ascii="Times New Roman" w:eastAsia="Times New Roman" w:hAnsi="Times New Roman" w:cs="Times New Roman"/>
          <w:bCs/>
          <w:iCs/>
          <w:color w:val="000000" w:themeColor="text1"/>
          <w:sz w:val="21"/>
          <w:szCs w:val="21"/>
          <w:lang w:val="uk-UA" w:eastAsia="ru-RU"/>
        </w:rPr>
        <w:t xml:space="preserve"> за даними опублікованими Оператором ринку по результатам торгів на ринку «на добу наперед» у розрахунковому періоді. </w:t>
      </w:r>
    </w:p>
    <w:p w14:paraId="41BBD5D3" w14:textId="77777777" w:rsidR="00417FCF" w:rsidRDefault="00417FCF" w:rsidP="00417FCF">
      <w:pPr>
        <w:pStyle w:val="1"/>
        <w:keepNext w:val="0"/>
        <w:widowControl w:val="0"/>
        <w:numPr>
          <w:ilvl w:val="1"/>
          <w:numId w:val="3"/>
        </w:numPr>
        <w:autoSpaceDE w:val="0"/>
        <w:autoSpaceDN w:val="0"/>
        <w:spacing w:before="120" w:line="240" w:lineRule="auto"/>
        <w:ind w:left="0" w:firstLine="0"/>
        <w:jc w:val="both"/>
        <w:rPr>
          <w:b w:val="0"/>
          <w:bCs/>
          <w:sz w:val="21"/>
          <w:szCs w:val="21"/>
        </w:rPr>
      </w:pPr>
      <w:r>
        <w:rPr>
          <w:b w:val="0"/>
          <w:bCs/>
          <w:sz w:val="21"/>
          <w:szCs w:val="21"/>
        </w:rPr>
        <w:t xml:space="preserve">Зміна величини відповідних складових в порядку передбаченому пунктами 1.2.1. – 1.2.2. цієї Комерційної пропозиції не потребує обов’язкового укладення додаткових угод до Договору. Про зміну відповідних складових Постачальник інформує Споживача шляхом направлення повідомлення, з урахуванням вимог чинного законодавства, у вигляді електронного документа підписаного уповноваженою особою Постачальника з використанням кваліфікованого електронного підпису. Відповідне повідомлення може бути використане Споживачем для оприлюднення в електронній системі </w:t>
      </w:r>
      <w:proofErr w:type="spellStart"/>
      <w:r>
        <w:rPr>
          <w:b w:val="0"/>
          <w:bCs/>
          <w:sz w:val="21"/>
          <w:szCs w:val="21"/>
        </w:rPr>
        <w:t>закупівель</w:t>
      </w:r>
      <w:proofErr w:type="spellEnd"/>
      <w:r>
        <w:rPr>
          <w:b w:val="0"/>
          <w:bCs/>
          <w:sz w:val="21"/>
          <w:szCs w:val="21"/>
        </w:rPr>
        <w:t xml:space="preserve"> відповідно до вимог діючого законодавства.  За окремим зверненням Споживача йому може бути наданий паперовий примірник підписаного повідомлення. </w:t>
      </w:r>
      <w:bookmarkStart w:id="0" w:name="_Hlk118746726"/>
    </w:p>
    <w:p w14:paraId="5E06C8EE" w14:textId="77777777" w:rsidR="00417FCF" w:rsidRDefault="00417FCF" w:rsidP="00417FCF">
      <w:pPr>
        <w:pStyle w:val="1"/>
        <w:keepNext w:val="0"/>
        <w:widowControl w:val="0"/>
        <w:autoSpaceDE w:val="0"/>
        <w:autoSpaceDN w:val="0"/>
        <w:spacing w:line="240" w:lineRule="auto"/>
        <w:ind w:firstLine="426"/>
        <w:jc w:val="both"/>
        <w:rPr>
          <w:b w:val="0"/>
          <w:bCs/>
          <w:sz w:val="21"/>
          <w:szCs w:val="21"/>
        </w:rPr>
      </w:pPr>
      <w:r>
        <w:rPr>
          <w:b w:val="0"/>
          <w:bCs/>
          <w:sz w:val="21"/>
          <w:szCs w:val="21"/>
        </w:rPr>
        <w:t xml:space="preserve">За зверненням однієї зі сторін Договору оформлюється додаткова угода, щодо зміни тарифу. У цьому випадку паперовий примірник підписаного повідомлення не оформлюється. </w:t>
      </w:r>
    </w:p>
    <w:p w14:paraId="45574507" w14:textId="77777777" w:rsidR="00417FCF" w:rsidRDefault="00417FCF" w:rsidP="00417FCF">
      <w:pPr>
        <w:pStyle w:val="1"/>
        <w:keepNext w:val="0"/>
        <w:widowControl w:val="0"/>
        <w:autoSpaceDE w:val="0"/>
        <w:autoSpaceDN w:val="0"/>
        <w:spacing w:line="240" w:lineRule="auto"/>
        <w:ind w:firstLine="426"/>
        <w:jc w:val="both"/>
        <w:rPr>
          <w:b w:val="0"/>
          <w:bCs/>
          <w:sz w:val="21"/>
          <w:szCs w:val="21"/>
        </w:rPr>
      </w:pPr>
      <w:bookmarkStart w:id="1" w:name="_Hlk118881870"/>
      <w:r>
        <w:rPr>
          <w:b w:val="0"/>
          <w:bCs/>
          <w:sz w:val="21"/>
          <w:szCs w:val="21"/>
        </w:rPr>
        <w:t>За результатами розрахункового періоду Постачальник виставляє рахунок в якому зазначається ціна електричної енергії  та її регульовані складові відповідно до механізму, зазначеному у п. 1.2 даної Комерційної пропозиції.</w:t>
      </w:r>
    </w:p>
    <w:bookmarkEnd w:id="0"/>
    <w:bookmarkEnd w:id="1"/>
    <w:p w14:paraId="3FFFECF8" w14:textId="77777777" w:rsidR="00417FCF" w:rsidRDefault="00417FCF" w:rsidP="00417FCF">
      <w:pPr>
        <w:pStyle w:val="1"/>
        <w:keepNext w:val="0"/>
        <w:widowControl w:val="0"/>
        <w:numPr>
          <w:ilvl w:val="1"/>
          <w:numId w:val="3"/>
        </w:numPr>
        <w:autoSpaceDE w:val="0"/>
        <w:autoSpaceDN w:val="0"/>
        <w:spacing w:before="120" w:line="240" w:lineRule="auto"/>
        <w:ind w:left="0" w:firstLine="0"/>
        <w:jc w:val="both"/>
        <w:rPr>
          <w:b w:val="0"/>
          <w:bCs/>
          <w:sz w:val="21"/>
          <w:szCs w:val="21"/>
        </w:rPr>
      </w:pPr>
      <w:r>
        <w:rPr>
          <w:b w:val="0"/>
          <w:bCs/>
          <w:sz w:val="21"/>
          <w:szCs w:val="21"/>
        </w:rPr>
        <w:t>В разі необхідності змін умов</w:t>
      </w:r>
      <w:r>
        <w:rPr>
          <w:b w:val="0"/>
          <w:sz w:val="21"/>
          <w:szCs w:val="21"/>
        </w:rPr>
        <w:t xml:space="preserve"> </w:t>
      </w:r>
      <w:r>
        <w:rPr>
          <w:b w:val="0"/>
          <w:bCs/>
          <w:sz w:val="21"/>
          <w:szCs w:val="21"/>
        </w:rPr>
        <w:t xml:space="preserve">цієї Комерційної пропозиції, зокрема складової ціни </w:t>
      </w:r>
      <w:r>
        <w:rPr>
          <w:sz w:val="21"/>
          <w:szCs w:val="21"/>
        </w:rPr>
        <w:t>П</w:t>
      </w:r>
      <w:r>
        <w:rPr>
          <w:b w:val="0"/>
          <w:bCs/>
          <w:sz w:val="21"/>
          <w:szCs w:val="21"/>
        </w:rPr>
        <w:t xml:space="preserve">, Постачальник має право  звернутися до Споживача з пропозицією та обґрунтуванням щодо внесення змін, підготувавши Споживачу проект змін до Договору у формі додаткової угоди. </w:t>
      </w:r>
      <w:r>
        <w:rPr>
          <w:sz w:val="21"/>
          <w:szCs w:val="21"/>
        </w:rPr>
        <w:t xml:space="preserve"> </w:t>
      </w:r>
      <w:r>
        <w:rPr>
          <w:b w:val="0"/>
          <w:bCs/>
          <w:sz w:val="21"/>
          <w:szCs w:val="21"/>
        </w:rPr>
        <w:t>Споживач протягом 5-ти робочих днів після одержання пропозиції письмово повідомляє Постачальника про результати її розгляду.</w:t>
      </w:r>
    </w:p>
    <w:p w14:paraId="5832AE40" w14:textId="77777777" w:rsidR="00417FCF" w:rsidRDefault="00417FCF" w:rsidP="00417FC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Cs/>
          <w:sz w:val="21"/>
          <w:szCs w:val="21"/>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14:paraId="2B53A405" w14:textId="77777777" w:rsidR="00417FCF" w:rsidRDefault="00417FCF" w:rsidP="00417FCF">
      <w:pPr>
        <w:pStyle w:val="a7"/>
        <w:numPr>
          <w:ilvl w:val="0"/>
          <w:numId w:val="4"/>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Комерційна пропозиція застосовується на території операторів системи:</w:t>
      </w:r>
    </w:p>
    <w:p w14:paraId="42C81454" w14:textId="77777777" w:rsidR="00417FCF" w:rsidRDefault="00417FCF" w:rsidP="00417FCF">
      <w:pPr>
        <w:pStyle w:val="a7"/>
        <w:spacing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2.1.</w:t>
      </w:r>
      <w:r>
        <w:rPr>
          <w:rFonts w:ascii="Times New Roman" w:eastAsia="Times New Roman" w:hAnsi="Times New Roman" w:cs="Times New Roman"/>
          <w:b/>
          <w:sz w:val="21"/>
          <w:szCs w:val="21"/>
          <w:lang w:val="uk-UA" w:eastAsia="ru-RU"/>
        </w:rPr>
        <w:t xml:space="preserve"> </w:t>
      </w:r>
      <w:r>
        <w:rPr>
          <w:rFonts w:ascii="Times New Roman" w:eastAsia="Times New Roman" w:hAnsi="Times New Roman" w:cs="Times New Roman"/>
          <w:sz w:val="21"/>
          <w:szCs w:val="21"/>
          <w:lang w:val="uk-UA" w:eastAsia="ru-RU"/>
        </w:rPr>
        <w:t>За переліком площадок вимірювання, до мереж яких такі площадки приєднані.</w:t>
      </w:r>
    </w:p>
    <w:p w14:paraId="10C0C36B"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Спосіб оплати.</w:t>
      </w:r>
    </w:p>
    <w:p w14:paraId="4E159EBC"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lastRenderedPageBreak/>
        <w:t>3.1. Розрахунки за електричну енергію здійснюються виключно в грошовій формі відповідно до умов Договору, шляхом перерахування коштів</w:t>
      </w:r>
      <w:r>
        <w:rPr>
          <w:rFonts w:ascii="Times New Roman" w:hAnsi="Times New Roman" w:cs="Times New Roman"/>
          <w:sz w:val="21"/>
          <w:szCs w:val="21"/>
          <w:lang w:val="uk-UA"/>
        </w:rPr>
        <w:t xml:space="preserve"> </w:t>
      </w:r>
      <w:r>
        <w:rPr>
          <w:rFonts w:ascii="Times New Roman" w:eastAsia="Times New Roman" w:hAnsi="Times New Roman" w:cs="Times New Roman"/>
          <w:sz w:val="21"/>
          <w:szCs w:val="21"/>
          <w:lang w:val="uk-UA" w:eastAsia="ru-RU"/>
        </w:rPr>
        <w:t xml:space="preserve">на поточний рахунок </w:t>
      </w:r>
      <w:r>
        <w:rPr>
          <w:rFonts w:ascii="Times New Roman" w:eastAsia="Times New Roman" w:hAnsi="Times New Roman" w:cs="Times New Roman"/>
          <w:b/>
          <w:sz w:val="21"/>
          <w:szCs w:val="21"/>
          <w:lang w:val="uk-UA" w:eastAsia="ru-RU"/>
        </w:rPr>
        <w:t>із спеціальним режимом використання</w:t>
      </w:r>
      <w:r>
        <w:rPr>
          <w:rFonts w:ascii="Times New Roman" w:eastAsia="Times New Roman" w:hAnsi="Times New Roman" w:cs="Times New Roman"/>
          <w:sz w:val="21"/>
          <w:szCs w:val="21"/>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14:paraId="2E777B59" w14:textId="77777777" w:rsidR="00417FCF" w:rsidRDefault="00417FCF" w:rsidP="00417FCF">
      <w:pPr>
        <w:pStyle w:val="a7"/>
        <w:spacing w:after="120" w:line="240" w:lineRule="auto"/>
        <w:ind w:left="0"/>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3.2. 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38C3D222"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Порядок оплати.</w:t>
      </w:r>
    </w:p>
    <w:p w14:paraId="4B614329"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6D5A4971"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4.2. Порядок здійснення платежів:</w:t>
      </w:r>
    </w:p>
    <w:p w14:paraId="3BC0742E" w14:textId="77777777" w:rsidR="00417FCF" w:rsidRPr="00417FCF" w:rsidRDefault="00417FCF" w:rsidP="00417FCF">
      <w:pPr>
        <w:pStyle w:val="a7"/>
        <w:spacing w:after="80" w:line="240" w:lineRule="auto"/>
        <w:ind w:left="0"/>
        <w:jc w:val="both"/>
        <w:rPr>
          <w:rFonts w:ascii="Times New Roman" w:eastAsia="Times New Roman" w:hAnsi="Times New Roman" w:cs="Times New Roman"/>
          <w:color w:val="000000" w:themeColor="text1"/>
          <w:sz w:val="21"/>
          <w:szCs w:val="21"/>
          <w:lang w:val="uk-UA" w:eastAsia="ru-RU"/>
        </w:rPr>
      </w:pPr>
      <w:r w:rsidRPr="00417FCF">
        <w:rPr>
          <w:rFonts w:ascii="Times New Roman" w:eastAsia="Times New Roman" w:hAnsi="Times New Roman" w:cs="Times New Roman"/>
          <w:color w:val="000000" w:themeColor="text1"/>
          <w:sz w:val="21"/>
          <w:szCs w:val="21"/>
          <w:lang w:val="uk-UA" w:eastAsia="ru-RU"/>
        </w:rPr>
        <w:t xml:space="preserve">оплата за спожиту електричну енергію має бути здійснена Споживачем у строк не більше </w:t>
      </w:r>
      <w:r w:rsidRPr="00417FCF">
        <w:rPr>
          <w:rFonts w:ascii="Times New Roman" w:eastAsia="Times New Roman" w:hAnsi="Times New Roman" w:cs="Times New Roman"/>
          <w:i/>
          <w:color w:val="000000" w:themeColor="text1"/>
          <w:sz w:val="21"/>
          <w:szCs w:val="21"/>
          <w:lang w:val="uk-UA" w:eastAsia="ru-RU"/>
        </w:rPr>
        <w:t xml:space="preserve">5 робочих днів </w:t>
      </w:r>
      <w:r w:rsidRPr="00417FCF">
        <w:rPr>
          <w:rFonts w:ascii="Times New Roman" w:eastAsia="Times New Roman" w:hAnsi="Times New Roman" w:cs="Times New Roman"/>
          <w:color w:val="000000" w:themeColor="text1"/>
          <w:sz w:val="21"/>
          <w:szCs w:val="21"/>
          <w:lang w:val="uk-UA" w:eastAsia="ru-RU"/>
        </w:rPr>
        <w:t>після закінчення розрахункового періоду.</w:t>
      </w:r>
    </w:p>
    <w:p w14:paraId="6135D390"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Pr>
          <w:rFonts w:ascii="Times New Roman" w:hAnsi="Times New Roman" w:cs="Times New Roman"/>
          <w:sz w:val="21"/>
          <w:szCs w:val="21"/>
          <w:lang w:val="uk-UA"/>
        </w:rPr>
        <w:t>оприлюднена на офіційному веб-сайті Постачальника або  формою, узгодженою</w:t>
      </w:r>
      <w:r>
        <w:rPr>
          <w:rFonts w:ascii="Times New Roman" w:eastAsia="Times New Roman" w:hAnsi="Times New Roman" w:cs="Times New Roman"/>
          <w:sz w:val="21"/>
          <w:szCs w:val="21"/>
          <w:lang w:val="uk-UA" w:eastAsia="ru-RU"/>
        </w:rPr>
        <w:t xml:space="preserve"> з оператором системи, у останній день розрахункового періоду. </w:t>
      </w:r>
    </w:p>
    <w:p w14:paraId="690226C2"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14:paraId="1295CC74"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4.4. </w:t>
      </w:r>
      <w:r>
        <w:rPr>
          <w:rFonts w:ascii="Times New Roman" w:hAnsi="Times New Roman" w:cs="Times New Roman"/>
          <w:sz w:val="21"/>
          <w:szCs w:val="21"/>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14:paraId="17D127CE" w14:textId="77777777" w:rsidR="00417FCF" w:rsidRDefault="00417FCF" w:rsidP="00417FCF">
      <w:pPr>
        <w:pStyle w:val="a7"/>
        <w:numPr>
          <w:ilvl w:val="0"/>
          <w:numId w:val="5"/>
        </w:numPr>
        <w:spacing w:before="24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4DF0BD03"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5.1. </w:t>
      </w:r>
      <w:r>
        <w:rPr>
          <w:rFonts w:ascii="Times New Roman" w:hAnsi="Times New Roman" w:cs="Times New Roman"/>
          <w:sz w:val="21"/>
          <w:szCs w:val="21"/>
          <w:lang w:val="uk-UA"/>
        </w:rPr>
        <w:t>Споживач самостійного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14:paraId="278FF841"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14:paraId="5933991F"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14:paraId="2B862D5A"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Pr>
          <w:rFonts w:ascii="Times New Roman" w:eastAsia="Times New Roman" w:hAnsi="Times New Roman" w:cs="Times New Roman"/>
          <w:sz w:val="21"/>
          <w:szCs w:val="21"/>
          <w:lang w:val="uk-UA" w:eastAsia="ru-RU"/>
        </w:rPr>
        <w:t>енергоофісі</w:t>
      </w:r>
      <w:proofErr w:type="spellEnd"/>
      <w:r>
        <w:rPr>
          <w:rFonts w:ascii="Times New Roman" w:eastAsia="Times New Roman" w:hAnsi="Times New Roman" w:cs="Times New Roman"/>
          <w:sz w:val="21"/>
          <w:szCs w:val="21"/>
          <w:lang w:val="uk-UA" w:eastAsia="ru-RU"/>
        </w:rPr>
        <w:t xml:space="preserve"> Постачальника. </w:t>
      </w:r>
    </w:p>
    <w:p w14:paraId="5586AF89"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hAnsi="Times New Roman" w:cs="Times New Roman"/>
          <w:sz w:val="21"/>
          <w:szCs w:val="21"/>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14:paraId="2B08EC71" w14:textId="77777777" w:rsidR="00417FCF" w:rsidRDefault="00417FCF" w:rsidP="00417FCF">
      <w:pPr>
        <w:spacing w:after="80" w:line="240" w:lineRule="auto"/>
        <w:jc w:val="both"/>
        <w:rPr>
          <w:rFonts w:ascii="Times New Roman" w:hAnsi="Times New Roman" w:cs="Times New Roman"/>
          <w:sz w:val="21"/>
          <w:szCs w:val="21"/>
          <w:u w:val="single"/>
          <w:lang w:val="uk-UA"/>
        </w:rPr>
      </w:pPr>
      <w:r>
        <w:rPr>
          <w:rFonts w:ascii="Times New Roman" w:eastAsia="Times New Roman" w:hAnsi="Times New Roman" w:cs="Times New Roman"/>
          <w:sz w:val="21"/>
          <w:szCs w:val="21"/>
          <w:lang w:val="uk-UA" w:eastAsia="ru-RU"/>
        </w:rPr>
        <w:t>5.2.</w:t>
      </w:r>
      <w:r>
        <w:rPr>
          <w:rFonts w:ascii="Times New Roman" w:hAnsi="Times New Roman" w:cs="Times New Roman"/>
          <w:sz w:val="21"/>
          <w:szCs w:val="21"/>
          <w:lang w:val="uk-UA"/>
        </w:rPr>
        <w:t xml:space="preserve"> 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14:paraId="10638472"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Спосіб оплати послуг з розподілу/передачі електричної енергії.</w:t>
      </w:r>
    </w:p>
    <w:p w14:paraId="54DCB146" w14:textId="77777777"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6.1. Послуги з передачі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14:paraId="3189BC8C" w14:textId="77777777" w:rsidR="00417FCF" w:rsidRPr="00E278CE" w:rsidRDefault="00417FCF" w:rsidP="00417FCF">
      <w:pPr>
        <w:spacing w:after="120" w:line="240" w:lineRule="auto"/>
        <w:jc w:val="both"/>
        <w:rPr>
          <w:rFonts w:ascii="Times New Roman" w:eastAsia="Times New Roman" w:hAnsi="Times New Roman" w:cs="Times New Roman"/>
          <w:color w:val="000000" w:themeColor="text1"/>
          <w:sz w:val="21"/>
          <w:szCs w:val="21"/>
          <w:u w:val="single"/>
          <w:lang w:val="uk-UA" w:eastAsia="ru-RU"/>
        </w:rPr>
      </w:pPr>
      <w:r w:rsidRPr="00E278CE">
        <w:rPr>
          <w:rFonts w:ascii="Times New Roman" w:eastAsia="Times New Roman" w:hAnsi="Times New Roman" w:cs="Times New Roman"/>
          <w:color w:val="000000" w:themeColor="text1"/>
          <w:sz w:val="21"/>
          <w:szCs w:val="21"/>
          <w:u w:val="single"/>
          <w:lang w:val="uk-UA" w:eastAsia="ru-RU"/>
        </w:rPr>
        <w:t>Послуги з розподілу електричної енергії закуповуються та оплачуються Споживачем самостійно.</w:t>
      </w:r>
    </w:p>
    <w:p w14:paraId="0C1312D7"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Розмір пені за порушення строку оплати.</w:t>
      </w:r>
    </w:p>
    <w:p w14:paraId="52C67CA0" w14:textId="77777777" w:rsidR="00417FCF" w:rsidRDefault="00417FCF" w:rsidP="00417FCF">
      <w:pPr>
        <w:spacing w:after="120" w:line="240" w:lineRule="auto"/>
        <w:jc w:val="both"/>
        <w:rPr>
          <w:rFonts w:ascii="Times New Roman" w:eastAsia="Times New Roman" w:hAnsi="Times New Roman" w:cs="Times New Roman"/>
          <w:strike/>
          <w:sz w:val="21"/>
          <w:szCs w:val="21"/>
          <w:lang w:val="uk-UA" w:eastAsia="ru-RU"/>
        </w:rPr>
      </w:pPr>
      <w:r>
        <w:rPr>
          <w:rFonts w:ascii="Times New Roman" w:eastAsia="Times New Roman" w:hAnsi="Times New Roman" w:cs="Times New Roman"/>
          <w:sz w:val="21"/>
          <w:szCs w:val="21"/>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23A7DAA5" w14:textId="77777777" w:rsidR="00417FCF" w:rsidRDefault="00417FCF" w:rsidP="00417FCF">
      <w:pPr>
        <w:pStyle w:val="a7"/>
        <w:numPr>
          <w:ilvl w:val="0"/>
          <w:numId w:val="5"/>
        </w:numPr>
        <w:spacing w:before="160" w:after="120" w:line="240" w:lineRule="auto"/>
        <w:ind w:left="0" w:firstLine="0"/>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lastRenderedPageBreak/>
        <w:t xml:space="preserve">Зобов'язання надавати компенсації Споживачу за недотримання </w:t>
      </w:r>
      <w:r>
        <w:rPr>
          <w:rFonts w:ascii="Times New Roman" w:hAnsi="Times New Roman" w:cs="Times New Roman"/>
          <w:b/>
          <w:sz w:val="21"/>
          <w:szCs w:val="21"/>
          <w:lang w:val="uk-UA"/>
        </w:rPr>
        <w:t>Постачальником комерційної якості надання послуг.</w:t>
      </w:r>
    </w:p>
    <w:p w14:paraId="797BC195" w14:textId="77777777" w:rsidR="00417FCF" w:rsidRDefault="00417FCF" w:rsidP="00417FCF">
      <w:pPr>
        <w:spacing w:after="120" w:line="240" w:lineRule="auto"/>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8.1. Надається Постачальником Споживачу в порядку, затвердженому Регулятором.</w:t>
      </w:r>
    </w:p>
    <w:p w14:paraId="1BBE6293" w14:textId="77777777" w:rsidR="00417FCF" w:rsidRDefault="00417FCF" w:rsidP="00417FCF">
      <w:pPr>
        <w:spacing w:before="160" w:after="120" w:line="240" w:lineRule="auto"/>
        <w:jc w:val="center"/>
        <w:rPr>
          <w:rFonts w:ascii="Times New Roman" w:hAnsi="Times New Roman" w:cs="Times New Roman"/>
          <w:b/>
          <w:color w:val="FF0000"/>
          <w:sz w:val="21"/>
          <w:szCs w:val="21"/>
          <w:lang w:val="uk-UA"/>
        </w:rPr>
      </w:pPr>
      <w:r>
        <w:rPr>
          <w:rFonts w:ascii="Times New Roman" w:eastAsia="Times New Roman" w:hAnsi="Times New Roman" w:cs="Times New Roman"/>
          <w:b/>
          <w:sz w:val="21"/>
          <w:szCs w:val="21"/>
          <w:lang w:val="uk-UA" w:eastAsia="ru-RU"/>
        </w:rPr>
        <w:t>9. Інші штрафи та санкції.</w:t>
      </w:r>
    </w:p>
    <w:p w14:paraId="71D8552D"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9.1. Штраф за дострокове розірвання Договору не застосовується.</w:t>
      </w:r>
    </w:p>
    <w:p w14:paraId="13488CE5" w14:textId="77777777" w:rsidR="00417FCF" w:rsidRDefault="00417FCF" w:rsidP="00417FCF">
      <w:pPr>
        <w:spacing w:after="120" w:line="240" w:lineRule="auto"/>
        <w:jc w:val="both"/>
        <w:rPr>
          <w:rFonts w:ascii="Times New Roman" w:eastAsia="Times New Roman" w:hAnsi="Times New Roman" w:cs="Times New Roman"/>
          <w:b/>
          <w:sz w:val="21"/>
          <w:szCs w:val="21"/>
          <w:lang w:val="uk-UA" w:eastAsia="ru-RU"/>
        </w:rPr>
      </w:pPr>
      <w:r>
        <w:rPr>
          <w:rFonts w:ascii="Times New Roman" w:eastAsia="Times New Roman" w:hAnsi="Times New Roman" w:cs="Times New Roman"/>
          <w:sz w:val="21"/>
          <w:szCs w:val="21"/>
          <w:lang w:val="uk-UA" w:eastAsia="ru-RU"/>
        </w:rPr>
        <w:t>9.2. Штраф за недотримання прогнозних обсягів споживання  не застосовується.</w:t>
      </w:r>
    </w:p>
    <w:p w14:paraId="6151F63F" w14:textId="77777777" w:rsidR="00417FCF" w:rsidRDefault="00417FCF" w:rsidP="00417FCF">
      <w:pPr>
        <w:spacing w:before="160" w:after="120" w:line="240" w:lineRule="auto"/>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t>10. Строк дії договору та умови пролонгації.</w:t>
      </w:r>
    </w:p>
    <w:p w14:paraId="2060AC8D" w14:textId="0AA44782"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10.1. Договір набирає чинності з дати його підписання та укладається на строк </w:t>
      </w:r>
      <w:r>
        <w:rPr>
          <w:rFonts w:ascii="Times New Roman" w:eastAsia="Times New Roman" w:hAnsi="Times New Roman" w:cs="Times New Roman"/>
          <w:color w:val="FF0000"/>
          <w:sz w:val="21"/>
          <w:szCs w:val="21"/>
          <w:lang w:val="uk-UA" w:eastAsia="ru-RU"/>
        </w:rPr>
        <w:t xml:space="preserve">до </w:t>
      </w:r>
      <w:r>
        <w:rPr>
          <w:rFonts w:ascii="Times New Roman" w:eastAsia="Times New Roman" w:hAnsi="Times New Roman" w:cs="Times New Roman"/>
          <w:color w:val="FF0000"/>
          <w:sz w:val="21"/>
          <w:szCs w:val="21"/>
          <w:lang w:eastAsia="ru-RU"/>
        </w:rPr>
        <w:t>1</w:t>
      </w:r>
      <w:r>
        <w:rPr>
          <w:rFonts w:ascii="Times New Roman" w:eastAsia="Times New Roman" w:hAnsi="Times New Roman" w:cs="Times New Roman"/>
          <w:color w:val="FF0000"/>
          <w:sz w:val="21"/>
          <w:szCs w:val="21"/>
          <w:lang w:val="uk-UA" w:eastAsia="ru-RU"/>
        </w:rPr>
        <w:t>4</w:t>
      </w:r>
      <w:r>
        <w:rPr>
          <w:rFonts w:ascii="Times New Roman" w:eastAsia="Times New Roman" w:hAnsi="Times New Roman" w:cs="Times New Roman"/>
          <w:color w:val="FF0000"/>
          <w:sz w:val="21"/>
          <w:szCs w:val="21"/>
          <w:lang w:eastAsia="ru-RU"/>
        </w:rPr>
        <w:t>.0</w:t>
      </w:r>
      <w:r>
        <w:rPr>
          <w:rFonts w:ascii="Times New Roman" w:eastAsia="Times New Roman" w:hAnsi="Times New Roman" w:cs="Times New Roman"/>
          <w:color w:val="FF0000"/>
          <w:sz w:val="21"/>
          <w:szCs w:val="21"/>
          <w:lang w:val="uk-UA" w:eastAsia="ru-RU"/>
        </w:rPr>
        <w:t>5</w:t>
      </w:r>
      <w:r>
        <w:rPr>
          <w:rFonts w:ascii="Times New Roman" w:eastAsia="Times New Roman" w:hAnsi="Times New Roman" w:cs="Times New Roman"/>
          <w:color w:val="FF0000"/>
          <w:sz w:val="21"/>
          <w:szCs w:val="21"/>
          <w:lang w:eastAsia="ru-RU"/>
        </w:rPr>
        <w:t>.</w:t>
      </w:r>
      <w:r>
        <w:rPr>
          <w:rFonts w:ascii="Times New Roman" w:eastAsia="Times New Roman" w:hAnsi="Times New Roman" w:cs="Times New Roman"/>
          <w:color w:val="FF0000"/>
          <w:sz w:val="21"/>
          <w:szCs w:val="21"/>
          <w:lang w:val="uk-UA" w:eastAsia="ru-RU"/>
        </w:rPr>
        <w:t>202</w:t>
      </w:r>
      <w:r>
        <w:rPr>
          <w:rFonts w:ascii="Times New Roman" w:eastAsia="Times New Roman" w:hAnsi="Times New Roman" w:cs="Times New Roman"/>
          <w:color w:val="FF0000"/>
          <w:sz w:val="21"/>
          <w:szCs w:val="21"/>
          <w:lang w:eastAsia="ru-RU"/>
        </w:rPr>
        <w:t>4</w:t>
      </w:r>
      <w:r>
        <w:rPr>
          <w:rFonts w:ascii="Times New Roman" w:eastAsia="Times New Roman" w:hAnsi="Times New Roman" w:cs="Times New Roman"/>
          <w:sz w:val="21"/>
          <w:szCs w:val="21"/>
          <w:lang w:val="uk-UA" w:eastAsia="ru-RU"/>
        </w:rPr>
        <w:t xml:space="preserve">,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w:t>
      </w:r>
    </w:p>
    <w:p w14:paraId="37C852A6" w14:textId="77777777" w:rsidR="00417FCF" w:rsidRDefault="00417FCF" w:rsidP="00417FCF">
      <w:pPr>
        <w:pStyle w:val="a5"/>
        <w:tabs>
          <w:tab w:val="left" w:pos="0"/>
          <w:tab w:val="left" w:pos="142"/>
        </w:tabs>
        <w:spacing w:after="120"/>
        <w:ind w:firstLine="0"/>
        <w:rPr>
          <w:sz w:val="21"/>
          <w:szCs w:val="21"/>
        </w:rPr>
      </w:pPr>
      <w:r>
        <w:rPr>
          <w:sz w:val="21"/>
          <w:szCs w:val="21"/>
        </w:rPr>
        <w:t>10.2. Відповідно до чинного законодавства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177157" w14:textId="77777777" w:rsidR="00417FCF" w:rsidRDefault="00417FCF" w:rsidP="00417FCF">
      <w:pPr>
        <w:pStyle w:val="a7"/>
        <w:spacing w:after="120" w:line="240" w:lineRule="auto"/>
        <w:ind w:left="0"/>
        <w:jc w:val="both"/>
        <w:rPr>
          <w:rFonts w:ascii="Times New Roman" w:hAnsi="Times New Roman" w:cs="Times New Roman"/>
          <w:sz w:val="21"/>
          <w:szCs w:val="21"/>
          <w:lang w:val="uk-UA"/>
        </w:rPr>
      </w:pPr>
      <w:r>
        <w:rPr>
          <w:rFonts w:ascii="Times New Roman" w:eastAsia="Times New Roman" w:hAnsi="Times New Roman" w:cs="Times New Roman"/>
          <w:sz w:val="21"/>
          <w:szCs w:val="21"/>
          <w:lang w:val="uk-UA" w:eastAsia="ru-RU"/>
        </w:rPr>
        <w:t>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Pr>
          <w:rFonts w:ascii="Times New Roman" w:hAnsi="Times New Roman" w:cs="Times New Roman"/>
          <w:sz w:val="21"/>
          <w:szCs w:val="21"/>
          <w:lang w:val="uk-UA"/>
        </w:rPr>
        <w:t xml:space="preserve"> </w:t>
      </w:r>
      <w:r>
        <w:rPr>
          <w:rFonts w:ascii="Times New Roman" w:eastAsia="Times New Roman" w:hAnsi="Times New Roman" w:cs="Times New Roman"/>
          <w:sz w:val="21"/>
          <w:szCs w:val="21"/>
          <w:lang w:val="uk-UA" w:eastAsia="ru-RU"/>
        </w:rPr>
        <w:t xml:space="preserve">включаючи нарахування та оплату штрафних санкцій. </w:t>
      </w:r>
    </w:p>
    <w:p w14:paraId="6D63D192"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296BCC5F"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8C1595"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4424AA07"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10.4.3. Споживач висловив незгоду із запропонованими змінами до Договору, чи із застосованою ціною, розрахованою відповідно до порядку передбаченого п.1.2. цієї Комерційної пропозиції.</w:t>
      </w:r>
    </w:p>
    <w:p w14:paraId="4D9BB186"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 Дія цього Договору також припиняється у наступних випадках:</w:t>
      </w:r>
    </w:p>
    <w:p w14:paraId="68F6397E"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10.5.1. Анулювання ліцензії Постачальника на постачання.</w:t>
      </w:r>
    </w:p>
    <w:p w14:paraId="4908927B"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10.5.2. Банкрутства або припинення господарської діяльності Постачальника.</w:t>
      </w:r>
    </w:p>
    <w:p w14:paraId="68E84E40"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10.5.3. У разі зміни власника (користувача) об'єкта Споживача, з моменту зміни власника (користувача).</w:t>
      </w:r>
    </w:p>
    <w:p w14:paraId="330ED7B9"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10.5.4. У разі зміни Постачальника.</w:t>
      </w:r>
    </w:p>
    <w:p w14:paraId="5B76B251"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зміни/коригування яких врегульований п.1.2.  цієї Комерційної пропозиції.</w:t>
      </w:r>
    </w:p>
    <w:p w14:paraId="73A3ACA8" w14:textId="77777777" w:rsidR="00417FCF" w:rsidRDefault="00417FCF" w:rsidP="00417FCF">
      <w:pPr>
        <w:spacing w:before="120" w:after="12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11. Урахування пільг, субсидій.</w:t>
      </w:r>
    </w:p>
    <w:p w14:paraId="6923A410" w14:textId="77777777" w:rsidR="00417FCF" w:rsidRDefault="00417FCF" w:rsidP="00417FCF">
      <w:pPr>
        <w:spacing w:after="120" w:line="240" w:lineRule="auto"/>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11.1. Умови комерційної пропозиція не передбачають урахування пільг, субсидій.</w:t>
      </w:r>
    </w:p>
    <w:p w14:paraId="1759DD8B" w14:textId="77777777" w:rsidR="00417FCF" w:rsidRDefault="00417FCF" w:rsidP="00417FCF">
      <w:pPr>
        <w:spacing w:before="120" w:after="12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12. Можливість постачання захищеним споживачам.</w:t>
      </w:r>
    </w:p>
    <w:p w14:paraId="6D94EE44" w14:textId="77777777"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12.1. Умови комерційної пропозиції передбачають можливість постачання захищеним споживачам.</w:t>
      </w:r>
    </w:p>
    <w:p w14:paraId="05859F91" w14:textId="77777777" w:rsidR="00417FCF" w:rsidRDefault="00417FCF" w:rsidP="00417FCF">
      <w:pPr>
        <w:spacing w:before="120" w:after="120" w:line="240" w:lineRule="auto"/>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t>13. Особливі умови, дотримання яких є суттєвим.</w:t>
      </w:r>
    </w:p>
    <w:p w14:paraId="724730B3" w14:textId="77777777" w:rsidR="00417FCF" w:rsidRDefault="00417FCF" w:rsidP="00417FCF">
      <w:pPr>
        <w:pStyle w:val="a7"/>
        <w:numPr>
          <w:ilvl w:val="1"/>
          <w:numId w:val="6"/>
        </w:numPr>
        <w:spacing w:after="8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024379E" w14:textId="77777777" w:rsidR="00417FCF" w:rsidRDefault="00417FCF" w:rsidP="00417FCF">
      <w:pPr>
        <w:pStyle w:val="a7"/>
        <w:numPr>
          <w:ilvl w:val="1"/>
          <w:numId w:val="6"/>
        </w:numPr>
        <w:spacing w:after="80" w:line="240" w:lineRule="auto"/>
        <w:ind w:left="0" w:firstLine="0"/>
        <w:jc w:val="both"/>
        <w:rPr>
          <w:rFonts w:ascii="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У разі незгоди зі зміною умов Договору, про які Постачальник проінформував Споживача належним чином, Споживач </w:t>
      </w:r>
      <w:r>
        <w:rPr>
          <w:rFonts w:ascii="Times New Roman" w:hAnsi="Times New Roman" w:cs="Times New Roman"/>
          <w:sz w:val="21"/>
          <w:szCs w:val="21"/>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14:paraId="78767426" w14:textId="77777777" w:rsidR="00417FCF" w:rsidRDefault="00417FCF" w:rsidP="00417FCF">
      <w:pPr>
        <w:pStyle w:val="a7"/>
        <w:numPr>
          <w:ilvl w:val="1"/>
          <w:numId w:val="6"/>
        </w:numPr>
        <w:spacing w:after="8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7352C824" w14:textId="77777777" w:rsidR="00417FCF" w:rsidRDefault="00417FCF" w:rsidP="00417FCF">
      <w:pPr>
        <w:pStyle w:val="a4"/>
        <w:numPr>
          <w:ilvl w:val="1"/>
          <w:numId w:val="6"/>
        </w:numPr>
        <w:spacing w:before="0" w:beforeAutospacing="0" w:after="80" w:afterAutospacing="0"/>
        <w:ind w:left="0" w:firstLine="0"/>
        <w:jc w:val="both"/>
        <w:rPr>
          <w:sz w:val="21"/>
          <w:szCs w:val="21"/>
          <w:lang w:val="uk-UA"/>
        </w:rPr>
      </w:pPr>
      <w:r>
        <w:rPr>
          <w:sz w:val="21"/>
          <w:szCs w:val="21"/>
          <w:lang w:val="uk-UA"/>
        </w:rPr>
        <w:lastRenderedPageBreak/>
        <w:t>Умови користування сервісом «Особистий кабінет» публікуються на офіційному веб-сайті Постачальника.</w:t>
      </w:r>
    </w:p>
    <w:p w14:paraId="49D51479" w14:textId="77777777" w:rsidR="00417FCF" w:rsidRDefault="00417FCF" w:rsidP="00417FCF">
      <w:pPr>
        <w:pStyle w:val="a4"/>
        <w:numPr>
          <w:ilvl w:val="1"/>
          <w:numId w:val="6"/>
        </w:numPr>
        <w:spacing w:before="0" w:beforeAutospacing="0" w:after="80" w:afterAutospacing="0"/>
        <w:ind w:left="0" w:firstLine="0"/>
        <w:jc w:val="both"/>
        <w:rPr>
          <w:sz w:val="21"/>
          <w:szCs w:val="21"/>
          <w:lang w:val="uk-UA"/>
        </w:rPr>
      </w:pPr>
      <w:r>
        <w:rPr>
          <w:sz w:val="21"/>
          <w:szCs w:val="21"/>
          <w:lang w:val="uk-UA" w:eastAsia="uk-UA"/>
        </w:rPr>
        <w:t>Погодившись з цією Комерційною пропозицією, Споживач</w:t>
      </w:r>
      <w:r>
        <w:rPr>
          <w:sz w:val="21"/>
          <w:szCs w:val="21"/>
          <w:lang w:val="uk-UA"/>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14:paraId="0E7F487E" w14:textId="77777777" w:rsidR="00417FCF" w:rsidRDefault="00417FCF" w:rsidP="00417FCF">
      <w:pPr>
        <w:pStyle w:val="a4"/>
        <w:numPr>
          <w:ilvl w:val="1"/>
          <w:numId w:val="6"/>
        </w:numPr>
        <w:spacing w:beforeAutospacing="0" w:after="0" w:afterAutospacing="0"/>
        <w:ind w:left="0" w:firstLine="0"/>
        <w:jc w:val="both"/>
        <w:rPr>
          <w:sz w:val="21"/>
          <w:szCs w:val="21"/>
          <w:lang w:val="uk-UA"/>
        </w:rPr>
      </w:pPr>
      <w:r>
        <w:rPr>
          <w:sz w:val="21"/>
          <w:szCs w:val="21"/>
          <w:lang w:val="uk-UA"/>
        </w:rPr>
        <w:t xml:space="preserve"> Постачальник може інформувати, попереджати, повідомляти Споживача, з яким укладено Договір, про закінчення терміну дії, розірвання або припинення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надавати рахунки на оплату та іншу інформацію, яка стосується взаємовідносин Сторін або може бути корисною для Споживача, шляхом направлення відповідної інформації будь-яким із наступних способів: </w:t>
      </w:r>
    </w:p>
    <w:p w14:paraId="440CB7C8" w14:textId="77777777" w:rsidR="00417FCF" w:rsidRDefault="00417FCF" w:rsidP="00417FCF">
      <w:pPr>
        <w:numPr>
          <w:ilvl w:val="0"/>
          <w:numId w:val="7"/>
        </w:numPr>
        <w:tabs>
          <w:tab w:val="left" w:pos="284"/>
        </w:tabs>
        <w:spacing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через особистий кабінет; </w:t>
      </w:r>
    </w:p>
    <w:p w14:paraId="36F33B5D"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на своєму офіційному сайті у мережі Інтернет;</w:t>
      </w:r>
    </w:p>
    <w:p w14:paraId="2C39321B"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засобами електронного зв'язку на електронну адресу, вказану у заяві-приєднання до умов договору або заяві-приєднання до умов Додатку «Умови електронного обміну інформацією» до договору про постачання електричної енергії або зазначену у будь-якому іншому додатку до укладеного між сторонами договору, вказану у листуванні між сторонами, як інформація для здійснення зв’язку або зазначену в Єдиному державному реєстрі юридичних осіб, фізичних осіб-підприємців та громадських формувань;</w:t>
      </w:r>
    </w:p>
    <w:p w14:paraId="29440F0D"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СМС-повідомленням на номер, зазначений у заяві-приєднання до умов договору та інші чат-програми;</w:t>
      </w:r>
    </w:p>
    <w:p w14:paraId="33022603" w14:textId="77777777" w:rsidR="00417FCF" w:rsidRDefault="00417FCF" w:rsidP="00417FCF">
      <w:pPr>
        <w:numPr>
          <w:ilvl w:val="0"/>
          <w:numId w:val="7"/>
        </w:numPr>
        <w:tabs>
          <w:tab w:val="left" w:pos="284"/>
        </w:tabs>
        <w:spacing w:after="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 центрах обслуговування споживачів, тощо.</w:t>
      </w:r>
    </w:p>
    <w:p w14:paraId="74791515" w14:textId="77777777" w:rsidR="00417FCF" w:rsidRDefault="00417FCF" w:rsidP="00417FCF">
      <w:pPr>
        <w:spacing w:after="0" w:line="240" w:lineRule="auto"/>
        <w:ind w:firstLine="708"/>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Повідомлення також можуть вручатись Споживачу особисто або направлятись засобами поштового зв’язку. У разі направлення повідомлень за цим Договором засобами поштового зв’язку, датою отримання таких повідомлення буде вважатись п’ятий календарний день від дати отримання поштового відправлення від Постачальника відділенням поштового зв’язку (кур’єром). </w:t>
      </w:r>
    </w:p>
    <w:p w14:paraId="642AB838" w14:textId="77777777" w:rsidR="00417FCF" w:rsidRDefault="00417FCF" w:rsidP="00417FCF">
      <w:pPr>
        <w:spacing w:after="0" w:line="240" w:lineRule="auto"/>
        <w:ind w:firstLine="708"/>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У разі направлення попередження про припинення постачання електроенергії за несплачену заборгованість за цим Договором засобами електронного зв’язку на електронну адресу, доказом направлення даного попередження вважається інформація в електронній поштовій </w:t>
      </w:r>
      <w:proofErr w:type="spellStart"/>
      <w:r>
        <w:rPr>
          <w:rFonts w:ascii="Times New Roman" w:eastAsia="Times New Roman" w:hAnsi="Times New Roman" w:cs="Times New Roman"/>
          <w:sz w:val="21"/>
          <w:szCs w:val="21"/>
          <w:lang w:val="uk-UA" w:eastAsia="ru-RU"/>
        </w:rPr>
        <w:t>скринці</w:t>
      </w:r>
      <w:proofErr w:type="spellEnd"/>
      <w:r>
        <w:rPr>
          <w:rFonts w:ascii="Times New Roman" w:eastAsia="Times New Roman" w:hAnsi="Times New Roman" w:cs="Times New Roman"/>
          <w:sz w:val="21"/>
          <w:szCs w:val="21"/>
          <w:lang w:val="uk-UA" w:eastAsia="ru-RU"/>
        </w:rPr>
        <w:t xml:space="preserve"> відповідальної особи Постачальника або офіційної поштової скриньки Постачальника про відправлення відповідного повідомлення Споживачу із зазначенням у темі листа відправлення: «Попередження про припинення постачання електроенергії». Відповідне повідомлення  направляється адресату засобами електронного зв’язку та підписується електронним цифровим підписом  або кваліфікованим електронним підписом відповідальної особи Постачальника. Доказом отримання такого повідомлення Споживачем є зворотній лист Споживача або автоматичне підтвердження про отримання листа адресатом, що повертається на електронну адресу Постачальника або сплив 3-х календарних днів від дати відправлення відповідного повідомлення Споживачу.</w:t>
      </w:r>
    </w:p>
    <w:p w14:paraId="55EA2445" w14:textId="77777777" w:rsidR="00417FCF" w:rsidRDefault="00417FCF" w:rsidP="00417FCF">
      <w:pPr>
        <w:pStyle w:val="a4"/>
        <w:numPr>
          <w:ilvl w:val="1"/>
          <w:numId w:val="6"/>
        </w:numPr>
        <w:spacing w:before="0" w:beforeAutospacing="0" w:after="0" w:afterAutospacing="0"/>
        <w:ind w:left="0" w:firstLine="0"/>
        <w:jc w:val="both"/>
        <w:rPr>
          <w:sz w:val="21"/>
          <w:szCs w:val="21"/>
          <w:lang w:val="uk-UA"/>
        </w:rPr>
      </w:pPr>
      <w:r>
        <w:rPr>
          <w:rFonts w:eastAsia="Calibri"/>
          <w:sz w:val="21"/>
          <w:szCs w:val="21"/>
          <w:lang w:val="uk-UA" w:eastAsia="en-US"/>
        </w:rPr>
        <w:t xml:space="preserve"> За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w:t>
      </w:r>
    </w:p>
    <w:p w14:paraId="127E4270" w14:textId="77777777" w:rsidR="00417FCF" w:rsidRDefault="00417FCF" w:rsidP="00417FCF">
      <w:pPr>
        <w:pStyle w:val="a4"/>
        <w:numPr>
          <w:ilvl w:val="1"/>
          <w:numId w:val="6"/>
        </w:numPr>
        <w:spacing w:before="0" w:beforeAutospacing="0" w:after="0" w:afterAutospacing="0"/>
        <w:ind w:left="0" w:firstLine="0"/>
        <w:jc w:val="both"/>
        <w:rPr>
          <w:sz w:val="21"/>
          <w:szCs w:val="21"/>
          <w:lang w:val="uk-UA"/>
        </w:rPr>
      </w:pPr>
      <w:r>
        <w:rPr>
          <w:sz w:val="21"/>
          <w:szCs w:val="21"/>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14:paraId="10C76E39" w14:textId="77777777" w:rsidR="00417FCF" w:rsidRDefault="00417FCF" w:rsidP="00417FCF">
      <w:pPr>
        <w:pStyle w:val="a4"/>
        <w:spacing w:before="0" w:beforeAutospacing="0" w:after="0" w:afterAutospacing="0"/>
        <w:jc w:val="both"/>
        <w:rPr>
          <w:sz w:val="21"/>
          <w:szCs w:val="21"/>
          <w:lang w:val="uk-UA"/>
        </w:rPr>
      </w:pPr>
    </w:p>
    <w:tbl>
      <w:tblPr>
        <w:tblStyle w:val="11"/>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8"/>
      </w:tblGrid>
      <w:tr w:rsidR="00417FCF" w14:paraId="77069BD3" w14:textId="77777777" w:rsidTr="00E278CE">
        <w:tc>
          <w:tcPr>
            <w:tcW w:w="4678" w:type="dxa"/>
          </w:tcPr>
          <w:p w14:paraId="4DDC48A3" w14:textId="77777777" w:rsidR="00417FCF" w:rsidRDefault="00417FCF">
            <w:pPr>
              <w:spacing w:before="120" w:after="120" w:line="240" w:lineRule="auto"/>
              <w:ind w:right="317"/>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ПОСТАЧАЛЬНИК</w:t>
            </w:r>
          </w:p>
          <w:p w14:paraId="16DB7D71" w14:textId="6959EE67" w:rsidR="00417FCF" w:rsidRDefault="00E278CE">
            <w:pPr>
              <w:spacing w:before="120" w:after="120" w:line="240" w:lineRule="auto"/>
              <w:ind w:right="34"/>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_____________________________</w:t>
            </w:r>
          </w:p>
          <w:p w14:paraId="1F5D7FE0" w14:textId="77777777" w:rsidR="00417FCF" w:rsidRDefault="00417FCF">
            <w:pPr>
              <w:pStyle w:val="HTML"/>
              <w:rPr>
                <w:bCs/>
                <w:sz w:val="21"/>
                <w:szCs w:val="21"/>
                <w:lang w:eastAsia="en-US"/>
              </w:rPr>
            </w:pPr>
          </w:p>
          <w:p w14:paraId="60FF7DE1" w14:textId="77522794"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17"/>
              <w:rPr>
                <w:rFonts w:ascii="Times New Roman" w:hAnsi="Times New Roman" w:cs="Times New Roman"/>
                <w:bCs/>
                <w:sz w:val="21"/>
                <w:szCs w:val="21"/>
                <w:lang w:val="uk-UA"/>
              </w:rPr>
            </w:pPr>
            <w:r>
              <w:rPr>
                <w:rFonts w:ascii="Times New Roman" w:hAnsi="Times New Roman" w:cs="Times New Roman"/>
                <w:bCs/>
                <w:sz w:val="21"/>
                <w:szCs w:val="21"/>
              </w:rPr>
              <w:t xml:space="preserve">___________________ </w:t>
            </w:r>
            <w:r w:rsidR="00E278CE">
              <w:rPr>
                <w:rFonts w:ascii="Times New Roman" w:hAnsi="Times New Roman" w:cs="Times New Roman"/>
                <w:bCs/>
                <w:sz w:val="21"/>
                <w:szCs w:val="21"/>
                <w:lang w:val="uk-UA"/>
              </w:rPr>
              <w:t>_____________</w:t>
            </w:r>
          </w:p>
          <w:p w14:paraId="448D01D8" w14:textId="77777777" w:rsidR="00417FCF"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17"/>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«_____»________________20_____ М.П.</w:t>
            </w:r>
          </w:p>
        </w:tc>
        <w:tc>
          <w:tcPr>
            <w:tcW w:w="4678" w:type="dxa"/>
          </w:tcPr>
          <w:p w14:paraId="708CA4E4" w14:textId="77777777" w:rsidR="00417FCF"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СПОЖИВАЧ</w:t>
            </w:r>
          </w:p>
          <w:p w14:paraId="5E9EAE78" w14:textId="77777777"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i/>
                <w:color w:val="000000" w:themeColor="text1"/>
                <w:sz w:val="21"/>
                <w:szCs w:val="21"/>
                <w:lang w:val="uk-UA"/>
              </w:rPr>
            </w:pPr>
            <w:r w:rsidRPr="00E278CE">
              <w:rPr>
                <w:rFonts w:ascii="Times New Roman" w:eastAsia="Times New Roman" w:hAnsi="Times New Roman" w:cs="Times New Roman"/>
                <w:i/>
                <w:color w:val="000000" w:themeColor="text1"/>
                <w:sz w:val="21"/>
                <w:szCs w:val="21"/>
                <w:lang w:val="uk-UA"/>
              </w:rPr>
              <w:t>Управління Державної служби спеціального зв’язку та захисту інформації України у Дніпропетровській області</w:t>
            </w:r>
          </w:p>
          <w:p w14:paraId="4FB5C80F" w14:textId="1E768F2B" w:rsidR="00417FCF" w:rsidRDefault="00E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Н</w:t>
            </w:r>
            <w:r w:rsidR="00417FCF">
              <w:rPr>
                <w:rFonts w:ascii="Times New Roman" w:eastAsia="Times New Roman" w:hAnsi="Times New Roman" w:cs="Times New Roman"/>
                <w:sz w:val="21"/>
                <w:szCs w:val="21"/>
                <w:lang w:val="uk-UA"/>
              </w:rPr>
              <w:t>ачальник Управління</w:t>
            </w:r>
          </w:p>
          <w:p w14:paraId="3E6705D6" w14:textId="77777777" w:rsid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 ______________________</w:t>
            </w:r>
            <w:r w:rsidR="00E278CE">
              <w:rPr>
                <w:rFonts w:ascii="Times New Roman" w:eastAsia="Times New Roman" w:hAnsi="Times New Roman" w:cs="Times New Roman"/>
                <w:sz w:val="21"/>
                <w:szCs w:val="21"/>
                <w:lang w:val="uk-UA"/>
              </w:rPr>
              <w:t xml:space="preserve">Ігор ІВАНОВ </w:t>
            </w:r>
          </w:p>
          <w:p w14:paraId="31893016" w14:textId="1762A52A"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«___»________________________20____ М.П.</w:t>
            </w:r>
          </w:p>
        </w:tc>
      </w:tr>
    </w:tbl>
    <w:p w14:paraId="5394D3B4" w14:textId="77777777" w:rsidR="00417FCF" w:rsidRDefault="00417FCF" w:rsidP="00417FCF">
      <w:pPr>
        <w:pStyle w:val="a7"/>
        <w:spacing w:after="0" w:line="240" w:lineRule="auto"/>
        <w:ind w:left="0"/>
        <w:rPr>
          <w:rFonts w:ascii="Century" w:hAnsi="Century"/>
        </w:rPr>
      </w:pPr>
    </w:p>
    <w:p w14:paraId="0F8A8985" w14:textId="77777777" w:rsidR="00417FCF" w:rsidRDefault="00417FCF" w:rsidP="00417FCF">
      <w:pPr>
        <w:pStyle w:val="a7"/>
        <w:spacing w:after="0" w:line="240" w:lineRule="auto"/>
        <w:ind w:left="0"/>
        <w:rPr>
          <w:rFonts w:ascii="Century" w:hAnsi="Century"/>
        </w:rPr>
      </w:pPr>
    </w:p>
    <w:p w14:paraId="50CA60B9" w14:textId="77777777" w:rsidR="00417FCF" w:rsidRDefault="00417FCF" w:rsidP="00417FCF">
      <w:pPr>
        <w:pStyle w:val="a7"/>
        <w:spacing w:after="0" w:line="240" w:lineRule="auto"/>
        <w:ind w:left="0"/>
        <w:rPr>
          <w:rFonts w:ascii="Century" w:hAnsi="Century"/>
        </w:rPr>
      </w:pPr>
    </w:p>
    <w:p w14:paraId="549B3D16" w14:textId="77777777" w:rsidR="001F1DA8" w:rsidRDefault="001F1DA8"/>
    <w:sectPr w:rsidR="001F1DA8" w:rsidSect="00E278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7955"/>
    <w:multiLevelType w:val="multilevel"/>
    <w:tmpl w:val="1C1843AA"/>
    <w:lvl w:ilvl="0">
      <w:start w:val="1"/>
      <w:numFmt w:val="decimal"/>
      <w:lvlText w:val="%1."/>
      <w:lvlJc w:val="left"/>
      <w:pPr>
        <w:ind w:left="510" w:hanging="510"/>
      </w:pPr>
      <w:rPr>
        <w:color w:val="000000" w:themeColor="text1"/>
      </w:rPr>
    </w:lvl>
    <w:lvl w:ilvl="1">
      <w:start w:val="2"/>
      <w:numFmt w:val="decimal"/>
      <w:lvlText w:val="%1.%2."/>
      <w:lvlJc w:val="left"/>
      <w:pPr>
        <w:ind w:left="936" w:hanging="510"/>
      </w:pPr>
      <w:rPr>
        <w:b/>
        <w:bCs w:val="0"/>
        <w:color w:val="000000" w:themeColor="text1"/>
      </w:rPr>
    </w:lvl>
    <w:lvl w:ilvl="2">
      <w:start w:val="1"/>
      <w:numFmt w:val="decimal"/>
      <w:lvlText w:val="%1.%2.%3."/>
      <w:lvlJc w:val="left"/>
      <w:pPr>
        <w:ind w:left="5399" w:hanging="720"/>
      </w:pPr>
      <w:rPr>
        <w:b/>
        <w:bCs/>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 w15:restartNumberingAfterBreak="0">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719"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A4F12"/>
    <w:multiLevelType w:val="multilevel"/>
    <w:tmpl w:val="CCF08F7C"/>
    <w:lvl w:ilvl="0">
      <w:start w:val="1"/>
      <w:numFmt w:val="decimal"/>
      <w:lvlText w:val="%1"/>
      <w:lvlJc w:val="left"/>
      <w:pPr>
        <w:ind w:left="390" w:hanging="390"/>
      </w:pPr>
    </w:lvl>
    <w:lvl w:ilvl="1">
      <w:start w:val="1"/>
      <w:numFmt w:val="decimal"/>
      <w:lvlText w:val="%1.%2"/>
      <w:lvlJc w:val="left"/>
      <w:pPr>
        <w:ind w:left="7904"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6741BA4"/>
    <w:multiLevelType w:val="hybridMultilevel"/>
    <w:tmpl w:val="CD2A6B00"/>
    <w:lvl w:ilvl="0" w:tplc="F384A600">
      <w:start w:val="4"/>
      <w:numFmt w:val="bullet"/>
      <w:lvlText w:val="-"/>
      <w:lvlJc w:val="left"/>
      <w:pPr>
        <w:ind w:left="1068" w:hanging="360"/>
      </w:pPr>
      <w:rPr>
        <w:rFonts w:ascii="Century" w:eastAsia="Times New Roman" w:hAnsi="Century"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3C"/>
    <w:rsid w:val="001F1DA8"/>
    <w:rsid w:val="00417FCF"/>
    <w:rsid w:val="0082653C"/>
    <w:rsid w:val="00E2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5A1F"/>
  <w15:chartTrackingRefBased/>
  <w15:docId w15:val="{3E495053-FE4C-425D-B087-73D8108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CF"/>
    <w:pPr>
      <w:spacing w:line="256" w:lineRule="auto"/>
    </w:pPr>
  </w:style>
  <w:style w:type="paragraph" w:styleId="1">
    <w:name w:val="heading 1"/>
    <w:basedOn w:val="a"/>
    <w:next w:val="a"/>
    <w:link w:val="10"/>
    <w:uiPriority w:val="9"/>
    <w:qFormat/>
    <w:rsid w:val="00417FCF"/>
    <w:pPr>
      <w:keepNext/>
      <w:spacing w:after="0"/>
      <w:jc w:val="center"/>
      <w:outlineLvl w:val="0"/>
    </w:pPr>
    <w:rPr>
      <w:rFonts w:ascii="Times New Roman" w:eastAsia="Times New Roman" w:hAnsi="Times New Roman" w:cs="Times New Roman"/>
      <w:b/>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FCF"/>
    <w:rPr>
      <w:rFonts w:ascii="Times New Roman" w:eastAsia="Times New Roman" w:hAnsi="Times New Roman" w:cs="Times New Roman"/>
      <w:b/>
      <w:sz w:val="24"/>
      <w:lang w:val="uk-UA" w:eastAsia="ru-RU"/>
    </w:rPr>
  </w:style>
  <w:style w:type="character" w:styleId="a3">
    <w:name w:val="Hyperlink"/>
    <w:basedOn w:val="a0"/>
    <w:uiPriority w:val="99"/>
    <w:semiHidden/>
    <w:unhideWhenUsed/>
    <w:rsid w:val="00417FCF"/>
    <w:rPr>
      <w:color w:val="0563C1" w:themeColor="hyperlink"/>
      <w:u w:val="single"/>
    </w:rPr>
  </w:style>
  <w:style w:type="paragraph" w:styleId="HTML">
    <w:name w:val="HTML Preformatted"/>
    <w:basedOn w:val="a"/>
    <w:link w:val="HTML0"/>
    <w:semiHidden/>
    <w:unhideWhenUsed/>
    <w:rsid w:val="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semiHidden/>
    <w:rsid w:val="00417FCF"/>
    <w:rPr>
      <w:rFonts w:ascii="Times New Roman" w:eastAsia="Times New Roman" w:hAnsi="Times New Roman" w:cs="Times New Roman"/>
      <w:sz w:val="20"/>
      <w:szCs w:val="20"/>
      <w:lang w:val="uk-UA" w:eastAsia="ru-RU"/>
    </w:rPr>
  </w:style>
  <w:style w:type="paragraph" w:styleId="a4">
    <w:name w:val="Normal (Web)"/>
    <w:basedOn w:val="a"/>
    <w:uiPriority w:val="99"/>
    <w:semiHidden/>
    <w:unhideWhenUsed/>
    <w:rsid w:val="0041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17FCF"/>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uiPriority w:val="99"/>
    <w:semiHidden/>
    <w:rsid w:val="00417FCF"/>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17FCF"/>
    <w:pPr>
      <w:ind w:left="720"/>
      <w:contextualSpacing/>
    </w:pPr>
  </w:style>
  <w:style w:type="table" w:customStyle="1" w:styleId="11">
    <w:name w:val="Сетка таблицы1"/>
    <w:basedOn w:val="a1"/>
    <w:uiPriority w:val="39"/>
    <w:rsid w:val="00417FCF"/>
    <w:pPr>
      <w:spacing w:before="240"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index.php/index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2024-02-01T12:30:00Z</dcterms:created>
  <dcterms:modified xsi:type="dcterms:W3CDTF">2024-02-01T12:35:00Z</dcterms:modified>
</cp:coreProperties>
</file>