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3445CB" w:rsidRPr="006E7206" w:rsidRDefault="003445CB" w:rsidP="003445CB">
      <w:pPr>
        <w:spacing w:after="0" w:line="240" w:lineRule="auto"/>
        <w:jc w:val="center"/>
        <w:rPr>
          <w:rFonts w:ascii="Times New Roman" w:hAnsi="Times New Roman"/>
          <w:b/>
          <w:sz w:val="32"/>
          <w:szCs w:val="32"/>
          <w:lang w:val="uk-UA"/>
        </w:rPr>
      </w:pPr>
      <w:r w:rsidRPr="006E7206">
        <w:rPr>
          <w:rFonts w:ascii="Times New Roman" w:hAnsi="Times New Roman"/>
          <w:b/>
          <w:sz w:val="32"/>
          <w:szCs w:val="32"/>
          <w:lang w:val="uk-UA"/>
        </w:rPr>
        <w:t>БАШТАНСЬКА МІСЬКА РАДА</w:t>
      </w:r>
    </w:p>
    <w:p w:rsidR="003445CB" w:rsidRPr="006E7206" w:rsidRDefault="003445CB" w:rsidP="003445CB">
      <w:pPr>
        <w:spacing w:after="0" w:line="240" w:lineRule="auto"/>
        <w:jc w:val="center"/>
        <w:rPr>
          <w:rFonts w:ascii="Times New Roman" w:hAnsi="Times New Roman"/>
          <w:b/>
          <w:sz w:val="24"/>
          <w:szCs w:val="24"/>
          <w:lang w:val="uk-UA"/>
        </w:rPr>
      </w:pPr>
    </w:p>
    <w:p w:rsidR="003445CB" w:rsidRPr="006E7206" w:rsidRDefault="003445CB" w:rsidP="003445CB">
      <w:pPr>
        <w:spacing w:after="0" w:line="240" w:lineRule="auto"/>
        <w:jc w:val="center"/>
        <w:rPr>
          <w:rFonts w:ascii="Times New Roman" w:hAnsi="Times New Roman"/>
          <w:b/>
          <w:sz w:val="24"/>
          <w:szCs w:val="24"/>
          <w:lang w:val="uk-UA"/>
        </w:rPr>
      </w:pPr>
    </w:p>
    <w:p w:rsidR="003445CB" w:rsidRPr="006E7206" w:rsidRDefault="003445CB" w:rsidP="003445CB">
      <w:pPr>
        <w:spacing w:after="0" w:line="240" w:lineRule="auto"/>
        <w:jc w:val="center"/>
        <w:rPr>
          <w:rFonts w:ascii="Times New Roman" w:hAnsi="Times New Roman"/>
          <w:b/>
          <w:sz w:val="24"/>
          <w:szCs w:val="24"/>
          <w:lang w:val="uk-UA"/>
        </w:rPr>
      </w:pPr>
    </w:p>
    <w:p w:rsidR="003445CB" w:rsidRPr="006E7206" w:rsidRDefault="003445CB" w:rsidP="003445CB">
      <w:pPr>
        <w:spacing w:after="0" w:line="240" w:lineRule="auto"/>
        <w:jc w:val="center"/>
        <w:rPr>
          <w:rFonts w:ascii="Times New Roman" w:hAnsi="Times New Roman"/>
          <w:b/>
          <w:sz w:val="24"/>
          <w:szCs w:val="24"/>
          <w:lang w:val="uk-UA"/>
        </w:rPr>
      </w:pPr>
    </w:p>
    <w:p w:rsidR="003445CB" w:rsidRPr="006E7206" w:rsidRDefault="003445CB" w:rsidP="003445CB">
      <w:pPr>
        <w:spacing w:after="0" w:line="240" w:lineRule="auto"/>
        <w:ind w:left="5387"/>
        <w:rPr>
          <w:rFonts w:ascii="Times New Roman" w:hAnsi="Times New Roman"/>
          <w:b/>
          <w:sz w:val="24"/>
          <w:szCs w:val="24"/>
          <w:lang w:val="uk-UA"/>
        </w:rPr>
      </w:pPr>
      <w:r w:rsidRPr="006E7206">
        <w:rPr>
          <w:rFonts w:ascii="Times New Roman" w:hAnsi="Times New Roman"/>
          <w:b/>
          <w:sz w:val="24"/>
          <w:szCs w:val="24"/>
          <w:lang w:val="uk-UA"/>
        </w:rPr>
        <w:t>«ЗАТВЕРДЖЕНО»</w:t>
      </w:r>
    </w:p>
    <w:p w:rsidR="003445CB" w:rsidRPr="006E7206" w:rsidRDefault="003445CB" w:rsidP="003445CB">
      <w:pPr>
        <w:spacing w:after="0" w:line="240" w:lineRule="auto"/>
        <w:ind w:left="5387"/>
        <w:rPr>
          <w:rFonts w:ascii="Times New Roman" w:hAnsi="Times New Roman"/>
          <w:b/>
          <w:sz w:val="24"/>
          <w:szCs w:val="24"/>
          <w:lang w:val="uk-UA"/>
        </w:rPr>
      </w:pPr>
      <w:r w:rsidRPr="006E7206">
        <w:rPr>
          <w:rFonts w:ascii="Times New Roman" w:hAnsi="Times New Roman"/>
          <w:b/>
          <w:sz w:val="24"/>
          <w:szCs w:val="24"/>
          <w:lang w:val="uk-UA"/>
        </w:rPr>
        <w:t xml:space="preserve">Рішенням уповноваженої особи </w:t>
      </w:r>
    </w:p>
    <w:p w:rsidR="003445CB" w:rsidRPr="006E7206" w:rsidRDefault="003445CB" w:rsidP="003445CB">
      <w:pPr>
        <w:spacing w:after="0" w:line="240" w:lineRule="auto"/>
        <w:ind w:left="5387"/>
        <w:rPr>
          <w:rFonts w:ascii="Times New Roman" w:hAnsi="Times New Roman"/>
          <w:b/>
          <w:sz w:val="24"/>
          <w:szCs w:val="24"/>
          <w:lang w:val="uk-UA"/>
        </w:rPr>
      </w:pPr>
      <w:r w:rsidRPr="006E7206">
        <w:rPr>
          <w:rFonts w:ascii="Times New Roman" w:hAnsi="Times New Roman"/>
          <w:b/>
          <w:sz w:val="24"/>
          <w:szCs w:val="24"/>
          <w:lang w:val="uk-UA"/>
        </w:rPr>
        <w:t xml:space="preserve">Протокол </w:t>
      </w:r>
      <w:r w:rsidRPr="00F52EC7">
        <w:rPr>
          <w:rFonts w:ascii="Times New Roman" w:hAnsi="Times New Roman"/>
          <w:b/>
          <w:sz w:val="24"/>
          <w:szCs w:val="24"/>
          <w:lang w:val="uk-UA"/>
        </w:rPr>
        <w:t>№</w:t>
      </w:r>
      <w:r>
        <w:rPr>
          <w:rFonts w:ascii="Times New Roman" w:hAnsi="Times New Roman"/>
          <w:b/>
          <w:sz w:val="24"/>
          <w:szCs w:val="24"/>
          <w:lang w:val="uk-UA"/>
        </w:rPr>
        <w:t>24-1</w:t>
      </w:r>
      <w:r w:rsidRPr="00F52EC7">
        <w:rPr>
          <w:rFonts w:ascii="Times New Roman" w:hAnsi="Times New Roman"/>
          <w:b/>
          <w:sz w:val="24"/>
          <w:szCs w:val="24"/>
          <w:lang w:val="uk-UA"/>
        </w:rPr>
        <w:t xml:space="preserve"> від </w:t>
      </w:r>
      <w:r>
        <w:rPr>
          <w:rFonts w:ascii="Times New Roman" w:hAnsi="Times New Roman"/>
          <w:b/>
          <w:sz w:val="24"/>
          <w:szCs w:val="24"/>
          <w:lang w:val="uk-UA"/>
        </w:rPr>
        <w:t>24</w:t>
      </w:r>
      <w:r w:rsidRPr="00F52EC7">
        <w:rPr>
          <w:rFonts w:ascii="Times New Roman" w:hAnsi="Times New Roman"/>
          <w:b/>
          <w:sz w:val="24"/>
          <w:szCs w:val="24"/>
          <w:lang w:val="uk-UA"/>
        </w:rPr>
        <w:t>.</w:t>
      </w:r>
      <w:r>
        <w:rPr>
          <w:rFonts w:ascii="Times New Roman" w:hAnsi="Times New Roman"/>
          <w:b/>
          <w:sz w:val="24"/>
          <w:szCs w:val="24"/>
          <w:lang w:val="uk-UA"/>
        </w:rPr>
        <w:t>10</w:t>
      </w:r>
      <w:r w:rsidRPr="00F52EC7">
        <w:rPr>
          <w:rFonts w:ascii="Times New Roman" w:hAnsi="Times New Roman"/>
          <w:b/>
          <w:sz w:val="24"/>
          <w:szCs w:val="24"/>
          <w:lang w:val="uk-UA"/>
        </w:rPr>
        <w:t>.2023</w:t>
      </w:r>
      <w:r w:rsidRPr="006E7206">
        <w:rPr>
          <w:rFonts w:ascii="Times New Roman" w:hAnsi="Times New Roman"/>
          <w:b/>
          <w:sz w:val="24"/>
          <w:szCs w:val="24"/>
          <w:lang w:val="uk-UA"/>
        </w:rPr>
        <w:t xml:space="preserve"> року</w:t>
      </w:r>
    </w:p>
    <w:p w:rsidR="003445CB" w:rsidRPr="006E7206" w:rsidRDefault="003445CB" w:rsidP="003445CB">
      <w:pPr>
        <w:spacing w:after="0" w:line="240" w:lineRule="auto"/>
        <w:ind w:left="5387"/>
        <w:rPr>
          <w:rFonts w:ascii="Times New Roman" w:hAnsi="Times New Roman"/>
          <w:b/>
          <w:sz w:val="24"/>
          <w:szCs w:val="24"/>
          <w:lang w:val="uk-UA"/>
        </w:rPr>
      </w:pPr>
      <w:r>
        <w:rPr>
          <w:rFonts w:ascii="Times New Roman" w:hAnsi="Times New Roman"/>
          <w:b/>
          <w:sz w:val="24"/>
          <w:szCs w:val="24"/>
          <w:lang w:val="uk-UA"/>
        </w:rPr>
        <w:t>Гайчев О.А.</w:t>
      </w:r>
      <w:r w:rsidRPr="006E7206">
        <w:rPr>
          <w:rFonts w:ascii="Times New Roman" w:hAnsi="Times New Roman"/>
          <w:b/>
          <w:sz w:val="24"/>
          <w:szCs w:val="24"/>
          <w:lang w:val="uk-UA"/>
        </w:rPr>
        <w:t xml:space="preserve">   __________________</w:t>
      </w:r>
    </w:p>
    <w:p w:rsidR="003445CB" w:rsidRPr="006E7206" w:rsidRDefault="003445CB" w:rsidP="003445CB">
      <w:pPr>
        <w:spacing w:after="0" w:line="240" w:lineRule="auto"/>
        <w:ind w:left="5387"/>
        <w:rPr>
          <w:rFonts w:ascii="Times New Roman" w:hAnsi="Times New Roman"/>
          <w:b/>
          <w:sz w:val="24"/>
          <w:szCs w:val="24"/>
          <w:lang w:val="uk-UA"/>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Default="00F52A27" w:rsidP="002C3A2A">
      <w:pPr>
        <w:spacing w:before="240" w:after="0" w:line="240" w:lineRule="auto"/>
        <w:jc w:val="center"/>
        <w:rPr>
          <w:rFonts w:ascii="Times New Roman" w:hAnsi="Times New Roman"/>
          <w:b/>
          <w:bCs/>
          <w:sz w:val="28"/>
          <w:szCs w:val="28"/>
          <w:lang w:val="uk-UA" w:eastAsia="ru-RU"/>
        </w:rPr>
      </w:pPr>
    </w:p>
    <w:p w:rsidR="003445CB" w:rsidRDefault="003445CB" w:rsidP="002C3A2A">
      <w:pPr>
        <w:widowControl w:val="0"/>
        <w:jc w:val="center"/>
        <w:rPr>
          <w:rFonts w:ascii="Times New Roman" w:hAnsi="Times New Roman"/>
          <w:b/>
          <w:bCs/>
          <w:sz w:val="28"/>
          <w:szCs w:val="28"/>
          <w:lang w:val="uk-UA" w:eastAsia="ru-RU"/>
        </w:rPr>
      </w:pPr>
      <w:r w:rsidRPr="003445CB">
        <w:rPr>
          <w:rFonts w:ascii="Times New Roman" w:hAnsi="Times New Roman"/>
          <w:b/>
          <w:bCs/>
          <w:sz w:val="28"/>
          <w:szCs w:val="28"/>
          <w:lang w:val="uk-UA" w:eastAsia="ru-RU"/>
        </w:rPr>
        <w:t xml:space="preserve">Однотипні надгробки на могили загиблих (померлих) Захисників та Захисниць України, що поховані на території кладовищ Баштанської територіальної громади </w:t>
      </w:r>
    </w:p>
    <w:p w:rsidR="00F52A27" w:rsidRDefault="00554CED" w:rsidP="002C3A2A">
      <w:pPr>
        <w:widowControl w:val="0"/>
        <w:jc w:val="center"/>
        <w:rPr>
          <w:rFonts w:ascii="Times New Roman" w:hAnsi="Times New Roman"/>
          <w:b/>
          <w:bCs/>
          <w:sz w:val="24"/>
          <w:szCs w:val="24"/>
          <w:lang w:val="uk-UA"/>
        </w:rPr>
      </w:pPr>
      <w:r w:rsidRPr="00554CED">
        <w:rPr>
          <w:rFonts w:ascii="Times New Roman" w:hAnsi="Times New Roman"/>
          <w:b/>
          <w:bCs/>
          <w:sz w:val="28"/>
          <w:szCs w:val="28"/>
          <w:lang w:val="uk-UA" w:eastAsia="ru-RU"/>
        </w:rPr>
        <w:t>за кодом ДК - 021:2015 (CPV) - 44910000-2- Будівельний камінь</w:t>
      </w:r>
    </w:p>
    <w:p w:rsidR="00F52A27" w:rsidRPr="006B2A7A" w:rsidRDefault="00F52A27" w:rsidP="002C3A2A">
      <w:pPr>
        <w:widowControl w:val="0"/>
        <w:jc w:val="center"/>
        <w:rPr>
          <w:rFonts w:ascii="Times New Roman" w:hAnsi="Times New Roman"/>
          <w:b/>
          <w:bCs/>
          <w:sz w:val="24"/>
          <w:szCs w:val="24"/>
          <w:lang w:val="uk-UA"/>
        </w:rPr>
      </w:pPr>
    </w:p>
    <w:p w:rsidR="00F52A27" w:rsidRPr="003445CB"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3445CB" w:rsidRPr="00DD2286" w:rsidRDefault="003445CB" w:rsidP="002C3A2A">
      <w:pPr>
        <w:widowControl w:val="0"/>
        <w:jc w:val="center"/>
        <w:rPr>
          <w:rFonts w:ascii="Times New Roman" w:hAnsi="Times New Roman"/>
          <w:b/>
          <w:bCs/>
          <w:sz w:val="24"/>
          <w:szCs w:val="24"/>
          <w:lang w:val="uk-UA"/>
        </w:rPr>
      </w:pPr>
    </w:p>
    <w:p w:rsidR="00F52A27" w:rsidRPr="003445CB"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 xml:space="preserve">м. </w:t>
      </w:r>
      <w:r w:rsidR="003445CB">
        <w:rPr>
          <w:rFonts w:ascii="Times New Roman" w:hAnsi="Times New Roman"/>
          <w:b/>
          <w:bCs/>
          <w:sz w:val="24"/>
          <w:szCs w:val="24"/>
          <w:lang w:val="uk-UA"/>
        </w:rPr>
        <w:t>Баштанка</w:t>
      </w:r>
      <w:r w:rsidR="003445CB">
        <w:rPr>
          <w:rFonts w:ascii="Times New Roman" w:hAnsi="Times New Roman"/>
          <w:b/>
          <w:bCs/>
          <w:sz w:val="24"/>
          <w:szCs w:val="24"/>
        </w:rPr>
        <w:t xml:space="preserve"> –</w:t>
      </w:r>
      <w:r>
        <w:rPr>
          <w:rFonts w:ascii="Times New Roman" w:hAnsi="Times New Roman"/>
          <w:b/>
          <w:bCs/>
          <w:sz w:val="24"/>
          <w:szCs w:val="24"/>
        </w:rPr>
        <w:t>202</w:t>
      </w:r>
      <w:r>
        <w:rPr>
          <w:rFonts w:ascii="Times New Roman" w:hAnsi="Times New Roman"/>
          <w:b/>
          <w:bCs/>
          <w:sz w:val="24"/>
          <w:szCs w:val="24"/>
          <w:lang w:val="uk-UA"/>
        </w:rPr>
        <w:t>3</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3445CB" w:rsidRDefault="003445CB"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3445CB" w:rsidP="00EB7900">
            <w:pPr>
              <w:spacing w:after="0" w:line="240" w:lineRule="auto"/>
              <w:jc w:val="both"/>
              <w:rPr>
                <w:rFonts w:ascii="Times New Roman" w:hAnsi="Times New Roman"/>
                <w:i/>
                <w:iCs/>
                <w:color w:val="000000"/>
                <w:sz w:val="24"/>
                <w:szCs w:val="24"/>
                <w:lang w:val="uk-UA"/>
              </w:rPr>
            </w:pPr>
            <w:r w:rsidRPr="006E7206">
              <w:rPr>
                <w:rFonts w:ascii="Times New Roman" w:hAnsi="Times New Roman"/>
                <w:b/>
                <w:bCs/>
                <w:sz w:val="24"/>
                <w:szCs w:val="24"/>
                <w:lang w:val="uk-UA"/>
              </w:rPr>
              <w:t>Баштанська міська рада Баштанського району Миколаївс</w:t>
            </w:r>
            <w:r>
              <w:rPr>
                <w:rFonts w:ascii="Times New Roman" w:hAnsi="Times New Roman"/>
                <w:b/>
                <w:bCs/>
                <w:sz w:val="24"/>
                <w:szCs w:val="24"/>
                <w:lang w:val="uk-UA"/>
              </w:rPr>
              <w:t>ь</w:t>
            </w:r>
            <w:r w:rsidRPr="006E7206">
              <w:rPr>
                <w:rFonts w:ascii="Times New Roman" w:hAnsi="Times New Roman"/>
                <w:b/>
                <w:bCs/>
                <w:sz w:val="24"/>
                <w:szCs w:val="24"/>
                <w:lang w:val="uk-UA"/>
              </w:rPr>
              <w:t>кої області</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3445CB" w:rsidP="00EB7900">
            <w:pPr>
              <w:spacing w:after="0" w:line="240" w:lineRule="auto"/>
              <w:jc w:val="both"/>
              <w:rPr>
                <w:rFonts w:ascii="Times New Roman" w:hAnsi="Times New Roman"/>
                <w:color w:val="000000"/>
                <w:sz w:val="24"/>
                <w:szCs w:val="24"/>
                <w:lang w:val="uk-UA"/>
              </w:rPr>
            </w:pPr>
            <w:r w:rsidRPr="006E7206">
              <w:rPr>
                <w:rFonts w:ascii="Times New Roman" w:hAnsi="Times New Roman"/>
                <w:bCs/>
                <w:sz w:val="24"/>
                <w:szCs w:val="24"/>
                <w:lang w:val="uk-UA"/>
              </w:rPr>
              <w:t>56101, Миколаївська область, м. Баштанка, вул. Героїв Небесної Сотні, 38</w:t>
            </w:r>
          </w:p>
        </w:tc>
      </w:tr>
      <w:tr w:rsidR="00F52A27" w:rsidRPr="003445CB"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3445CB" w:rsidRPr="006E7206" w:rsidRDefault="003445CB" w:rsidP="003445CB">
            <w:pPr>
              <w:spacing w:after="0" w:line="240" w:lineRule="auto"/>
              <w:jc w:val="both"/>
              <w:rPr>
                <w:rFonts w:ascii="Times New Roman" w:hAnsi="Times New Roman"/>
                <w:sz w:val="24"/>
                <w:szCs w:val="24"/>
                <w:lang w:val="uk-UA"/>
              </w:rPr>
            </w:pPr>
            <w:r w:rsidRPr="006E7206">
              <w:rPr>
                <w:rFonts w:ascii="Times New Roman" w:hAnsi="Times New Roman"/>
                <w:sz w:val="24"/>
                <w:szCs w:val="24"/>
                <w:lang w:val="uk-UA"/>
              </w:rPr>
              <w:t xml:space="preserve">ПІБ:  </w:t>
            </w:r>
            <w:r w:rsidRPr="006E7206">
              <w:rPr>
                <w:rFonts w:ascii="Times New Roman" w:hAnsi="Times New Roman"/>
                <w:b/>
                <w:bCs/>
                <w:sz w:val="24"/>
                <w:szCs w:val="24"/>
                <w:lang w:val="uk-UA"/>
              </w:rPr>
              <w:t>Гайчев Олександр Анатолійович</w:t>
            </w:r>
          </w:p>
          <w:p w:rsidR="003445CB" w:rsidRPr="006E7206" w:rsidRDefault="003445CB" w:rsidP="003445CB">
            <w:pPr>
              <w:spacing w:after="0" w:line="240" w:lineRule="auto"/>
              <w:jc w:val="both"/>
              <w:rPr>
                <w:rFonts w:ascii="Times New Roman" w:hAnsi="Times New Roman"/>
                <w:sz w:val="24"/>
                <w:szCs w:val="24"/>
                <w:lang w:val="uk-UA"/>
              </w:rPr>
            </w:pPr>
            <w:r w:rsidRPr="006E7206">
              <w:rPr>
                <w:rFonts w:ascii="Times New Roman" w:hAnsi="Times New Roman"/>
                <w:sz w:val="24"/>
                <w:szCs w:val="24"/>
                <w:lang w:val="uk-UA"/>
              </w:rPr>
              <w:t xml:space="preserve">Посада: головний спеціаліст </w:t>
            </w:r>
            <w:r w:rsidRPr="006E7206">
              <w:rPr>
                <w:rFonts w:ascii="Times New Roman" w:eastAsia="Times New Roman" w:hAnsi="Times New Roman"/>
                <w:sz w:val="24"/>
                <w:szCs w:val="24"/>
                <w:lang w:val="uk-UA"/>
              </w:rPr>
              <w:t xml:space="preserve">відділу організації та проведення закупівель </w:t>
            </w:r>
          </w:p>
          <w:p w:rsidR="003445CB" w:rsidRPr="006E7206" w:rsidRDefault="003445CB" w:rsidP="003445CB">
            <w:pPr>
              <w:pStyle w:val="10"/>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rsidR="003445CB" w:rsidRPr="006E7206" w:rsidRDefault="003445CB" w:rsidP="003445CB">
            <w:pPr>
              <w:pStyle w:val="10"/>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rsidR="003445CB" w:rsidRPr="006E7206" w:rsidRDefault="003445CB" w:rsidP="003445CB">
            <w:pPr>
              <w:pStyle w:val="10"/>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rsidR="00F52A27" w:rsidRPr="00EB7900" w:rsidRDefault="003445CB" w:rsidP="003445CB">
            <w:pPr>
              <w:spacing w:after="0" w:line="240" w:lineRule="auto"/>
              <w:jc w:val="both"/>
              <w:rPr>
                <w:rFonts w:ascii="Times New Roman" w:hAnsi="Times New Roman"/>
                <w:color w:val="000000"/>
                <w:sz w:val="24"/>
                <w:szCs w:val="24"/>
                <w:lang w:val="uk-UA"/>
              </w:rPr>
            </w:pPr>
            <w:r w:rsidRPr="006E7206">
              <w:rPr>
                <w:rFonts w:ascii="Times New Roman" w:eastAsia="Times New Roman" w:hAnsi="Times New Roman"/>
                <w:sz w:val="24"/>
                <w:szCs w:val="24"/>
                <w:lang w:val="uk-UA"/>
              </w:rPr>
              <w:t>Е-mail: bashtrada@ukr.net</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3445CB"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3445CB" w:rsidP="00D70ABB">
            <w:pPr>
              <w:spacing w:after="0" w:line="240" w:lineRule="auto"/>
              <w:jc w:val="both"/>
              <w:rPr>
                <w:rFonts w:ascii="Times New Roman" w:hAnsi="Times New Roman"/>
                <w:iCs/>
                <w:sz w:val="24"/>
                <w:szCs w:val="24"/>
                <w:lang w:val="uk-UA"/>
              </w:rPr>
            </w:pPr>
            <w:r w:rsidRPr="003445CB">
              <w:rPr>
                <w:rFonts w:ascii="Times New Roman" w:hAnsi="Times New Roman"/>
                <w:sz w:val="24"/>
                <w:szCs w:val="24"/>
                <w:lang w:val="uk-UA"/>
              </w:rPr>
              <w:t>Однотипні надгробки на могили загиблих (померлих) Захисників та Захисниць України, що поховані на території кладовищ Баштанської територіальної громади</w:t>
            </w:r>
            <w:r w:rsidR="00B668B1" w:rsidRPr="00B668B1">
              <w:rPr>
                <w:rFonts w:ascii="Times New Roman" w:hAnsi="Times New Roman"/>
                <w:sz w:val="24"/>
                <w:szCs w:val="24"/>
                <w:lang w:val="uk-UA"/>
              </w:rPr>
              <w:t xml:space="preserve"> за кодом ДК - 021:2015 (CPV) - 44910000-2- Будівельний камінь</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B668B1" w:rsidP="003445CB">
            <w:pPr>
              <w:widowControl w:val="0"/>
              <w:spacing w:after="0" w:line="240" w:lineRule="auto"/>
              <w:ind w:right="120"/>
              <w:contextualSpacing/>
              <w:jc w:val="both"/>
              <w:rPr>
                <w:rFonts w:ascii="Times New Roman" w:hAnsi="Times New Roman"/>
                <w:sz w:val="24"/>
                <w:szCs w:val="24"/>
                <w:lang w:val="uk-UA"/>
              </w:rPr>
            </w:pPr>
            <w:r w:rsidRPr="00B668B1">
              <w:rPr>
                <w:rFonts w:ascii="Times New Roman" w:hAnsi="Times New Roman"/>
                <w:color w:val="000000"/>
                <w:sz w:val="24"/>
                <w:szCs w:val="24"/>
                <w:lang w:val="uk-UA" w:eastAsia="ru-RU"/>
              </w:rPr>
              <w:t xml:space="preserve">Місце поставки –  Україна, </w:t>
            </w:r>
            <w:r w:rsidR="003445CB">
              <w:rPr>
                <w:rStyle w:val="af1"/>
                <w:rFonts w:ascii="Times New Roman" w:eastAsia="Times New Roman" w:hAnsi="Times New Roman"/>
                <w:b/>
                <w:lang w:val="uk-UA"/>
              </w:rPr>
              <w:t>територія Баштанської ТГ</w:t>
            </w:r>
            <w:r w:rsidR="003445CB" w:rsidRPr="00B668B1">
              <w:rPr>
                <w:rFonts w:ascii="Times New Roman" w:hAnsi="Times New Roman"/>
                <w:color w:val="000000"/>
                <w:sz w:val="24"/>
                <w:szCs w:val="24"/>
                <w:lang w:val="uk-UA" w:eastAsia="ru-RU"/>
              </w:rPr>
              <w:t xml:space="preserve"> </w:t>
            </w:r>
            <w:r w:rsidRPr="00B668B1">
              <w:rPr>
                <w:rFonts w:ascii="Times New Roman" w:hAnsi="Times New Roman"/>
                <w:color w:val="000000"/>
                <w:sz w:val="24"/>
                <w:szCs w:val="24"/>
                <w:lang w:val="uk-UA" w:eastAsia="ru-RU"/>
              </w:rPr>
              <w:t xml:space="preserve">Кількість – </w:t>
            </w:r>
            <w:r w:rsidR="003445CB">
              <w:rPr>
                <w:rFonts w:ascii="Times New Roman" w:hAnsi="Times New Roman"/>
                <w:color w:val="000000"/>
                <w:sz w:val="24"/>
                <w:szCs w:val="24"/>
                <w:lang w:val="uk-UA" w:eastAsia="ru-RU"/>
              </w:rPr>
              <w:t>35</w:t>
            </w:r>
            <w:r w:rsidRPr="00B668B1">
              <w:rPr>
                <w:rFonts w:ascii="Times New Roman" w:hAnsi="Times New Roman"/>
                <w:color w:val="000000"/>
                <w:sz w:val="24"/>
                <w:szCs w:val="24"/>
                <w:lang w:val="uk-UA" w:eastAsia="ru-RU"/>
              </w:rPr>
              <w:t xml:space="preserve"> шт.</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3445CB">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до  </w:t>
            </w:r>
            <w:r w:rsidR="003445CB">
              <w:rPr>
                <w:rFonts w:ascii="Times New Roman" w:hAnsi="Times New Roman"/>
                <w:color w:val="000000"/>
                <w:sz w:val="24"/>
                <w:szCs w:val="24"/>
                <w:lang w:val="uk-UA" w:eastAsia="ru-RU"/>
              </w:rPr>
              <w:t>20</w:t>
            </w:r>
            <w:r w:rsidRPr="00EB7900">
              <w:rPr>
                <w:rFonts w:ascii="Times New Roman" w:hAnsi="Times New Roman"/>
                <w:color w:val="000000"/>
                <w:sz w:val="24"/>
                <w:szCs w:val="24"/>
                <w:lang w:val="uk-UA" w:eastAsia="ru-RU"/>
              </w:rPr>
              <w:t xml:space="preserve">.12.2023 </w:t>
            </w:r>
            <w:r w:rsidR="003445CB">
              <w:rPr>
                <w:rFonts w:ascii="Times New Roman" w:hAnsi="Times New Roman"/>
                <w:color w:val="000000"/>
                <w:sz w:val="24"/>
                <w:szCs w:val="24"/>
                <w:lang w:val="uk-UA" w:eastAsia="ru-RU"/>
              </w:rPr>
              <w:t>р</w:t>
            </w:r>
            <w:r w:rsidRPr="00EB7900">
              <w:rPr>
                <w:rFonts w:ascii="Times New Roman" w:hAnsi="Times New Roman"/>
                <w:color w:val="000000"/>
                <w:sz w:val="24"/>
                <w:szCs w:val="24"/>
                <w:lang w:val="uk-UA" w:eastAsia="ru-RU"/>
              </w:rPr>
              <w:t>.</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EB7900">
              <w:rPr>
                <w:rFonts w:ascii="Times New Roman" w:hAnsi="Times New Roman"/>
                <w:sz w:val="24"/>
                <w:szCs w:val="24"/>
                <w:lang w:val="uk-UA" w:eastAsia="ru-RU"/>
              </w:rPr>
              <w:lastRenderedPageBreak/>
              <w:t>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BE27EA">
              <w:rPr>
                <w:rFonts w:ascii="Times New Roman" w:hAnsi="Times New Roman"/>
                <w:sz w:val="24"/>
                <w:szCs w:val="24"/>
                <w:lang w:val="uk-UA" w:eastAsia="uk-UA"/>
              </w:rPr>
              <w:lastRenderedPageBreak/>
              <w:t>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2C48E0">
              <w:rPr>
                <w:rFonts w:ascii="Times New Roman" w:hAnsi="Times New Roman"/>
                <w:bCs/>
                <w:sz w:val="24"/>
                <w:szCs w:val="24"/>
                <w:lang w:val="uk-UA" w:eastAsia="ru-RU"/>
              </w:rPr>
              <w:lastRenderedPageBreak/>
              <w:t xml:space="preserve">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уповноваженої особи Учасника та завірена печаткою </w:t>
            </w:r>
            <w:r w:rsidRPr="00EB7900">
              <w:rPr>
                <w:rFonts w:ascii="Times New Roman" w:hAnsi="Times New Roman"/>
                <w:i/>
                <w:iCs/>
                <w:sz w:val="24"/>
                <w:szCs w:val="24"/>
                <w:lang w:eastAsia="ru-RU"/>
              </w:rPr>
              <w:t>(за наявності)</w:t>
            </w:r>
            <w:r w:rsidRPr="00EB7900">
              <w:rPr>
                <w:rFonts w:ascii="Times New Roman" w:hAnsi="Times New Roman"/>
                <w:sz w:val="24"/>
                <w:szCs w:val="24"/>
                <w:lang w:eastAsia="ru-RU"/>
              </w:rPr>
              <w:t xml:space="preserve"> яка містить відомості про підприємство: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 xml:space="preserve">*реквізити (місце реєстрації, фактичне місцезнаходження, телефон, електронна пошта);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w:t>
            </w:r>
            <w:r w:rsidRPr="00EB7900">
              <w:rPr>
                <w:rFonts w:ascii="Times New Roman" w:hAnsi="Times New Roman"/>
                <w:bCs/>
                <w:sz w:val="24"/>
                <w:szCs w:val="24"/>
                <w:lang w:val="uk-UA" w:eastAsia="ru-RU"/>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7"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 xml:space="preserve">підпункту 2  пункту </w:t>
            </w:r>
            <w:r w:rsidR="00F369C2">
              <w:rPr>
                <w:rFonts w:ascii="Times New Roman" w:hAnsi="Times New Roman"/>
                <w:bCs/>
                <w:sz w:val="24"/>
                <w:szCs w:val="24"/>
                <w:lang w:val="uk-UA" w:eastAsia="ru-RU"/>
              </w:rPr>
              <w:t>47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lastRenderedPageBreak/>
              <w:t>Кожен учасник має право подати тільки одну тендерну пропозицію.</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3445CB"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3445CB"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F369C2">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 xml:space="preserve">Кваліфікаційні критерії до учасників та вимоги, згідно  з пунктом 28  та пунктом </w:t>
            </w:r>
            <w:r w:rsidR="00F369C2">
              <w:rPr>
                <w:rFonts w:ascii="Times New Roman" w:hAnsi="Times New Roman"/>
                <w:b/>
                <w:bCs/>
                <w:sz w:val="24"/>
                <w:szCs w:val="24"/>
                <w:lang w:val="uk-UA" w:eastAsia="ru-RU"/>
              </w:rPr>
              <w:t>47</w:t>
            </w:r>
            <w:r w:rsidRPr="00EB7900">
              <w:rPr>
                <w:rFonts w:ascii="Times New Roman" w:hAnsi="Times New Roman"/>
                <w:b/>
                <w:bCs/>
                <w:sz w:val="24"/>
                <w:szCs w:val="24"/>
                <w:lang w:val="uk-UA" w:eastAsia="ru-RU"/>
              </w:rPr>
              <w:t xml:space="preserve">  Особливостей</w:t>
            </w:r>
          </w:p>
        </w:tc>
        <w:tc>
          <w:tcPr>
            <w:tcW w:w="6090" w:type="dxa"/>
            <w:vAlign w:val="center"/>
          </w:tcPr>
          <w:p w:rsidR="002C034C"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w:t>
            </w:r>
            <w:r w:rsidRPr="00EB7900">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EB7900">
              <w:rPr>
                <w:rFonts w:ascii="Times New Roman" w:hAnsi="Times New Roman"/>
                <w:sz w:val="24"/>
                <w:szCs w:val="24"/>
                <w:lang w:val="uk-UA"/>
              </w:rPr>
              <w:lastRenderedPageBreak/>
              <w:t>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 xml:space="preserve">у строк, що не перевищує чотири дні з дати оприлюднення в електронній системі закупівель повідомлення про </w:t>
            </w:r>
            <w:r w:rsidRPr="002C48E0">
              <w:rPr>
                <w:b/>
                <w:bCs/>
                <w:sz w:val="24"/>
                <w:szCs w:val="24"/>
                <w:lang w:val="uk-UA" w:eastAsia="x-none"/>
              </w:rPr>
              <w:lastRenderedPageBreak/>
              <w:t>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Учасник повинен надати гарантійний лист про постачання товару відповідно до ескізу зазначеного в Додатку 2 та про надання одного екземпляра готового виробу-надгробку для огляду на етапі розгляду тендерних пропозицій.</w:t>
            </w:r>
          </w:p>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копії чинних договорів на дату подання пропозиції:</w:t>
            </w:r>
          </w:p>
          <w:p w:rsidR="00F52A27" w:rsidRPr="00EB7900"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 на надання послуг з вивезення та захоронення твердих побутових відходів;</w:t>
            </w:r>
            <w:r w:rsidR="00F52A27"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3445CB"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F52A27" w:rsidRPr="003445CB"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2B5115">
              <w:rPr>
                <w:rFonts w:ascii="Times New Roman" w:hAnsi="Times New Roman"/>
                <w:sz w:val="24"/>
                <w:szCs w:val="24"/>
                <w:lang w:val="uk-UA" w:eastAsia="ru-RU"/>
              </w:rPr>
              <w:t>01.11</w:t>
            </w:r>
            <w:r w:rsidRPr="00E6086E">
              <w:rPr>
                <w:rFonts w:ascii="Times New Roman" w:hAnsi="Times New Roman"/>
                <w:sz w:val="24"/>
                <w:szCs w:val="24"/>
                <w:lang w:val="uk-UA" w:eastAsia="ru-RU"/>
              </w:rPr>
              <w:t>.2023р.</w:t>
            </w:r>
            <w:r w:rsidR="00B668B1" w:rsidRPr="00E6086E">
              <w:rPr>
                <w:rFonts w:ascii="Times New Roman" w:hAnsi="Times New Roman"/>
                <w:sz w:val="24"/>
                <w:szCs w:val="24"/>
                <w:lang w:val="uk-UA" w:eastAsia="ru-RU"/>
              </w:rPr>
              <w:t xml:space="preserve"> 00:00 год.</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3445CB"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 xml:space="preserve">Закону, і документи, що </w:t>
            </w:r>
            <w:r w:rsidRPr="002C48E0">
              <w:rPr>
                <w:rFonts w:ascii="Times New Roman" w:hAnsi="Times New Roman"/>
                <w:sz w:val="24"/>
                <w:szCs w:val="24"/>
                <w:lang w:val="uk-UA"/>
              </w:rPr>
              <w:lastRenderedPageBreak/>
              <w:t>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 xml:space="preserve">невідповідність учасника процедури закупівлі вимогам кваліфікаційних критеріїв, наявність підстав, визначених пунктом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«ненадається»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«pdf» (PortableDocumentFormat)».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3445CB"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w:t>
            </w:r>
            <w:r w:rsidRPr="00EB7900">
              <w:rPr>
                <w:rFonts w:ascii="Times New Roman" w:hAnsi="Times New Roman"/>
                <w:sz w:val="24"/>
                <w:szCs w:val="24"/>
                <w:lang w:val="uk-UA" w:eastAsia="ru-RU"/>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Відсутність документів, що не передбачені </w:t>
            </w:r>
            <w:r w:rsidRPr="00EB7900">
              <w:rPr>
                <w:rFonts w:ascii="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3445CB"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2A27" w:rsidRPr="003445CB"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1" w:name="n590"/>
            <w:bookmarkEnd w:id="1"/>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0"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1"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AE6D0C" w:rsidRDefault="00291A1C" w:rsidP="00BE35A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F52A27" w:rsidRPr="0012297E">
        <w:rPr>
          <w:rFonts w:ascii="Times New Roman" w:hAnsi="Times New Roman"/>
          <w:sz w:val="24"/>
          <w:szCs w:val="24"/>
          <w:lang w:val="uk-UA"/>
        </w:rPr>
        <w:t>Додаток 2 до тендерної документації</w:t>
      </w:r>
      <w:r>
        <w:rPr>
          <w:rFonts w:ascii="Times New Roman" w:hAnsi="Times New Roman"/>
          <w:sz w:val="24"/>
          <w:szCs w:val="24"/>
          <w:lang w:val="uk-UA"/>
        </w:rPr>
        <w:t xml:space="preserve"> «Технічне завдання</w:t>
      </w:r>
      <w:r w:rsidR="00AE6D0C">
        <w:rPr>
          <w:rFonts w:ascii="Times New Roman" w:hAnsi="Times New Roman"/>
          <w:sz w:val="24"/>
          <w:szCs w:val="24"/>
          <w:lang w:val="uk-UA"/>
        </w:rPr>
        <w:t>»</w:t>
      </w:r>
      <w:r>
        <w:rPr>
          <w:rFonts w:ascii="Times New Roman" w:hAnsi="Times New Roman"/>
          <w:sz w:val="24"/>
          <w:szCs w:val="24"/>
          <w:lang w:val="uk-UA"/>
        </w:rPr>
        <w:t xml:space="preserve"> </w:t>
      </w:r>
    </w:p>
    <w:p w:rsidR="00F52A27" w:rsidRPr="0012297E" w:rsidRDefault="00F52A27" w:rsidP="00BE35AE">
      <w:pPr>
        <w:widowControl w:val="0"/>
        <w:spacing w:after="0" w:line="240" w:lineRule="auto"/>
        <w:jc w:val="both"/>
        <w:rPr>
          <w:rFonts w:ascii="Times New Roman" w:hAnsi="Times New Roman"/>
          <w:sz w:val="24"/>
          <w:szCs w:val="24"/>
          <w:lang w:val="uk-UA"/>
        </w:rPr>
      </w:pPr>
      <w:bookmarkStart w:id="2" w:name="_GoBack"/>
      <w:bookmarkEnd w:id="2"/>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BB" w:rsidRDefault="007250BB" w:rsidP="002C034C">
      <w:pPr>
        <w:spacing w:after="0" w:line="240" w:lineRule="auto"/>
      </w:pPr>
      <w:r>
        <w:separator/>
      </w:r>
    </w:p>
  </w:endnote>
  <w:endnote w:type="continuationSeparator" w:id="0">
    <w:p w:rsidR="007250BB" w:rsidRDefault="007250BB"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BB" w:rsidRDefault="007250BB" w:rsidP="002C034C">
      <w:pPr>
        <w:spacing w:after="0" w:line="240" w:lineRule="auto"/>
      </w:pPr>
      <w:r>
        <w:separator/>
      </w:r>
    </w:p>
  </w:footnote>
  <w:footnote w:type="continuationSeparator" w:id="0">
    <w:p w:rsidR="007250BB" w:rsidRDefault="007250BB"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43F7F"/>
    <w:rsid w:val="00050F91"/>
    <w:rsid w:val="00053249"/>
    <w:rsid w:val="0005506E"/>
    <w:rsid w:val="00056020"/>
    <w:rsid w:val="00057212"/>
    <w:rsid w:val="00060923"/>
    <w:rsid w:val="0007274C"/>
    <w:rsid w:val="00077900"/>
    <w:rsid w:val="00081F2E"/>
    <w:rsid w:val="0008540E"/>
    <w:rsid w:val="00087BC7"/>
    <w:rsid w:val="000A0CDB"/>
    <w:rsid w:val="000A10E8"/>
    <w:rsid w:val="000A3146"/>
    <w:rsid w:val="000B56D9"/>
    <w:rsid w:val="000C0FAA"/>
    <w:rsid w:val="000C368E"/>
    <w:rsid w:val="000C37DC"/>
    <w:rsid w:val="000D01A3"/>
    <w:rsid w:val="000D5E9E"/>
    <w:rsid w:val="000E0AC6"/>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18A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A1C"/>
    <w:rsid w:val="00291C25"/>
    <w:rsid w:val="00291DFD"/>
    <w:rsid w:val="00292EE1"/>
    <w:rsid w:val="00296D92"/>
    <w:rsid w:val="002A6D83"/>
    <w:rsid w:val="002B5115"/>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445CB"/>
    <w:rsid w:val="00354A61"/>
    <w:rsid w:val="00362446"/>
    <w:rsid w:val="00363633"/>
    <w:rsid w:val="00365FED"/>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475CA"/>
    <w:rsid w:val="00554CED"/>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36934"/>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50BB"/>
    <w:rsid w:val="00727824"/>
    <w:rsid w:val="007433E5"/>
    <w:rsid w:val="00743F80"/>
    <w:rsid w:val="00745533"/>
    <w:rsid w:val="00745F4B"/>
    <w:rsid w:val="00760147"/>
    <w:rsid w:val="0077159D"/>
    <w:rsid w:val="00775372"/>
    <w:rsid w:val="00775B91"/>
    <w:rsid w:val="00785AE8"/>
    <w:rsid w:val="00791E6E"/>
    <w:rsid w:val="007A6881"/>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271A"/>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E6D0C"/>
    <w:rsid w:val="00AF1759"/>
    <w:rsid w:val="00AF3DC2"/>
    <w:rsid w:val="00B06396"/>
    <w:rsid w:val="00B064E1"/>
    <w:rsid w:val="00B17BB4"/>
    <w:rsid w:val="00B21295"/>
    <w:rsid w:val="00B23F75"/>
    <w:rsid w:val="00B255A9"/>
    <w:rsid w:val="00B508DA"/>
    <w:rsid w:val="00B55532"/>
    <w:rsid w:val="00B56B36"/>
    <w:rsid w:val="00B663BD"/>
    <w:rsid w:val="00B668B1"/>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4A3E"/>
    <w:rsid w:val="00D15277"/>
    <w:rsid w:val="00D17979"/>
    <w:rsid w:val="00D2314F"/>
    <w:rsid w:val="00D25B55"/>
    <w:rsid w:val="00D33D30"/>
    <w:rsid w:val="00D43490"/>
    <w:rsid w:val="00D5112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086E"/>
    <w:rsid w:val="00E65085"/>
    <w:rsid w:val="00E703CB"/>
    <w:rsid w:val="00E7043D"/>
    <w:rsid w:val="00E7084D"/>
    <w:rsid w:val="00E87FB6"/>
    <w:rsid w:val="00EA107F"/>
    <w:rsid w:val="00EA798A"/>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32FD8"/>
    <w:rsid w:val="00F35E3C"/>
    <w:rsid w:val="00F369C2"/>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6A2C6-77C1-4A3B-A254-35EE4615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 w:type="paragraph" w:customStyle="1" w:styleId="10">
    <w:name w:val="Обычный1"/>
    <w:qFormat/>
    <w:rsid w:val="003445CB"/>
    <w:pPr>
      <w:spacing w:line="276" w:lineRule="auto"/>
    </w:pPr>
    <w:rPr>
      <w:rFonts w:ascii="Arial" w:eastAsia="Arial" w:hAnsi="Arial" w:cs="Arial"/>
      <w:color w:val="000000"/>
      <w:sz w:val="22"/>
      <w:szCs w:val="22"/>
      <w:lang w:val="ru-RU" w:eastAsia="ru-RU"/>
    </w:rPr>
  </w:style>
  <w:style w:type="character" w:styleId="af1">
    <w:name w:val="Emphasis"/>
    <w:qFormat/>
    <w:locked/>
    <w:rsid w:val="00344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29</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18</cp:revision>
  <cp:lastPrinted>2023-10-24T12:42:00Z</cp:lastPrinted>
  <dcterms:created xsi:type="dcterms:W3CDTF">2023-06-07T12:18:00Z</dcterms:created>
  <dcterms:modified xsi:type="dcterms:W3CDTF">2023-10-24T12:50:00Z</dcterms:modified>
</cp:coreProperties>
</file>