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2772" w14:textId="43335E83" w:rsidR="007201B6" w:rsidRDefault="007201B6" w:rsidP="00720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6735312"/>
      <w:bookmarkStart w:id="1" w:name="_Toc89588198"/>
      <w:bookmarkStart w:id="2" w:name="_Toc190675057"/>
      <w:bookmarkStart w:id="3" w:name="_Toc191360589"/>
      <w:bookmarkStart w:id="4" w:name="_Toc273092487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C5EBB" w:rsidRPr="00F64652">
        <w:rPr>
          <w:rFonts w:ascii="Times New Roman" w:hAnsi="Times New Roman" w:cs="Times New Roman"/>
          <w:b/>
          <w:sz w:val="24"/>
          <w:szCs w:val="24"/>
        </w:rPr>
        <w:t>Додаток №</w:t>
      </w:r>
      <w:r w:rsidR="0061572F">
        <w:rPr>
          <w:rFonts w:ascii="Times New Roman" w:hAnsi="Times New Roman" w:cs="Times New Roman"/>
          <w:b/>
          <w:sz w:val="24"/>
          <w:szCs w:val="24"/>
        </w:rPr>
        <w:t>2</w:t>
      </w:r>
    </w:p>
    <w:p w14:paraId="337F929B" w14:textId="77777777" w:rsidR="00145AB7" w:rsidRDefault="00145AB7" w:rsidP="004D098A">
      <w:pPr>
        <w:ind w:right="-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5" w:name="_Hlk129938910"/>
    </w:p>
    <w:bookmarkEnd w:id="5"/>
    <w:p w14:paraId="4EFD768C" w14:textId="7A7F11F4" w:rsidR="00A20502" w:rsidRPr="00A20502" w:rsidRDefault="00145AB7" w:rsidP="00A20502">
      <w:pPr>
        <w:ind w:right="-1"/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</w:rPr>
        <w:t>Технічна специфікація</w:t>
      </w:r>
      <w:bookmarkEnd w:id="0"/>
      <w:bookmarkEnd w:id="1"/>
      <w:bookmarkEnd w:id="2"/>
      <w:bookmarkEnd w:id="3"/>
      <w:bookmarkEnd w:id="4"/>
    </w:p>
    <w:p w14:paraId="30486C9A" w14:textId="77777777" w:rsidR="00927E6A" w:rsidRDefault="00927E6A" w:rsidP="00927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311"/>
        <w:gridCol w:w="1953"/>
      </w:tblGrid>
      <w:tr w:rsidR="00927E6A" w14:paraId="100FB81B" w14:textId="77777777" w:rsidTr="00927E6A">
        <w:trPr>
          <w:trHeight w:val="5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7B1374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з/п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63C3B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Найменування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617D46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Кількість</w:t>
            </w:r>
            <w:proofErr w:type="spellEnd"/>
          </w:p>
        </w:tc>
      </w:tr>
      <w:tr w:rsidR="00927E6A" w14:paraId="643056E2" w14:textId="77777777" w:rsidTr="00927E6A">
        <w:trPr>
          <w:trHeight w:val="38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96D6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5DF7" w14:textId="77777777" w:rsidR="00927E6A" w:rsidRDefault="00927E6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Помпа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безперервного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харчування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ED9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</w:tr>
      <w:tr w:rsidR="00927E6A" w14:paraId="2C3CE73A" w14:textId="77777777" w:rsidTr="00927E6A">
        <w:trPr>
          <w:trHeight w:val="38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03F4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7809" w14:textId="77777777" w:rsidR="00927E6A" w:rsidRDefault="00927E6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lang w:val="ru-RU"/>
                <w14:ligatures w14:val="standardContextual"/>
              </w:rPr>
              <w:t>Автоматичний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lang w:val="ru-RU"/>
                <w14:ligatures w14:val="standardContextual"/>
              </w:rPr>
              <w:t>зовнішній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lang w:val="ru-RU"/>
                <w14:ligatures w14:val="standardContextual"/>
              </w:rPr>
              <w:t>дефібрилятор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EDA7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14:paraId="377F6174" w14:textId="77777777" w:rsidR="00927E6A" w:rsidRDefault="00927E6A" w:rsidP="00927E6A">
      <w:pPr>
        <w:rPr>
          <w:rFonts w:ascii="Times New Roman" w:eastAsia="Calibri" w:hAnsi="Times New Roman" w:cs="Times New Roman"/>
          <w:lang w:eastAsia="ru-RU"/>
        </w:rPr>
      </w:pPr>
    </w:p>
    <w:p w14:paraId="2CCA80A0" w14:textId="77777777" w:rsidR="00927E6A" w:rsidRDefault="00927E6A" w:rsidP="009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Загальні вимоги:</w:t>
      </w:r>
    </w:p>
    <w:p w14:paraId="6FB539A9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>
        <w:rPr>
          <w:rFonts w:ascii="Times New Roman" w:hAnsi="Times New Roman" w:cs="Times New Roman"/>
        </w:rPr>
        <w:t xml:space="preserve"> у даному додатку та всіх інших вимог Тендерної Документації.</w:t>
      </w:r>
    </w:p>
    <w:p w14:paraId="167209CC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копії документів.</w:t>
      </w:r>
    </w:p>
    <w:p w14:paraId="2FEEA543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7146C01F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>
        <w:rPr>
          <w:rFonts w:ascii="Times New Roman" w:hAnsi="Times New Roman" w:cs="Times New Roman"/>
        </w:rPr>
        <w:t>.</w:t>
      </w:r>
    </w:p>
    <w:p w14:paraId="42455BB9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79DCA8C9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підтвердження Учасник повинен надати файл </w:t>
      </w:r>
      <w:proofErr w:type="spellStart"/>
      <w:r>
        <w:rPr>
          <w:rFonts w:ascii="Times New Roman" w:hAnsi="Times New Roman" w:cs="Times New Roman"/>
          <w:i/>
        </w:rPr>
        <w:t>відсканований</w:t>
      </w:r>
      <w:proofErr w:type="spellEnd"/>
      <w:r>
        <w:rPr>
          <w:rFonts w:ascii="Times New Roman" w:hAnsi="Times New Roman" w:cs="Times New Roman"/>
          <w:i/>
        </w:rPr>
        <w:t xml:space="preserve"> з </w:t>
      </w:r>
      <w:r>
        <w:rPr>
          <w:rFonts w:ascii="Times New Roman" w:hAnsi="Times New Roman" w:cs="Times New Roman"/>
          <w:i/>
          <w:spacing w:val="1"/>
        </w:rPr>
        <w:t xml:space="preserve">Оригіналу </w:t>
      </w:r>
      <w:r>
        <w:rPr>
          <w:rFonts w:ascii="Times New Roman" w:hAnsi="Times New Roman" w:cs="Times New Roman"/>
          <w:i/>
        </w:rPr>
        <w:t xml:space="preserve">листа виробника,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>
        <w:rPr>
          <w:rFonts w:ascii="Times New Roman" w:hAnsi="Times New Roman" w:cs="Times New Roman"/>
          <w:b/>
          <w:i/>
          <w:spacing w:val="1"/>
          <w:u w:val="single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а також гарантії щодо терміну гарантійного обслуговування.</w:t>
      </w:r>
    </w:p>
    <w:p w14:paraId="21442C65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14:paraId="4F67DE74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14:paraId="5ECDF815" w14:textId="77777777" w:rsidR="00927E6A" w:rsidRDefault="00927E6A" w:rsidP="00927E6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1EB325B5" w14:textId="77777777" w:rsidR="00927E6A" w:rsidRDefault="00927E6A" w:rsidP="00927E6A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14:paraId="59BA4FB1" w14:textId="77777777" w:rsidR="00927E6A" w:rsidRDefault="00927E6A" w:rsidP="00927E6A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5B902951" w14:textId="77777777" w:rsidR="00927E6A" w:rsidRDefault="00927E6A" w:rsidP="00927E6A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На підтвердження Учасник повинен надати завірену копію декларації, або сертифікату, або лист МОЗУ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448DF778" w14:textId="77777777" w:rsidR="00927E6A" w:rsidRDefault="00927E6A" w:rsidP="00927E6A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</w:rPr>
      </w:pPr>
    </w:p>
    <w:p w14:paraId="155B97C7" w14:textId="77777777" w:rsidR="00927E6A" w:rsidRDefault="00927E6A" w:rsidP="00927E6A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МЕДИКО-ТЕХНІЧНІ ВИМОГИ</w:t>
      </w:r>
    </w:p>
    <w:p w14:paraId="75DA7752" w14:textId="77777777" w:rsidR="00927E6A" w:rsidRDefault="00927E6A" w:rsidP="00927E6A">
      <w:pPr>
        <w:pStyle w:val="a7"/>
        <w:jc w:val="center"/>
        <w:rPr>
          <w:rFonts w:ascii="Times New Roman" w:hAnsi="Times New Roman"/>
          <w:b/>
        </w:rPr>
      </w:pPr>
    </w:p>
    <w:p w14:paraId="5920704F" w14:textId="77777777" w:rsidR="00927E6A" w:rsidRDefault="00927E6A" w:rsidP="00927E6A">
      <w:pPr>
        <w:pStyle w:val="a7"/>
        <w:widowControl/>
        <w:numPr>
          <w:ilvl w:val="0"/>
          <w:numId w:val="5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Помпа для </w:t>
      </w:r>
      <w:proofErr w:type="spellStart"/>
      <w:r>
        <w:rPr>
          <w:rFonts w:ascii="Times New Roman" w:hAnsi="Times New Roman"/>
          <w:b/>
        </w:rPr>
        <w:t>безперервного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харчування</w:t>
      </w:r>
      <w:proofErr w:type="spellEnd"/>
    </w:p>
    <w:p w14:paraId="4C8179B7" w14:textId="77777777" w:rsidR="00927E6A" w:rsidRDefault="00927E6A" w:rsidP="00927E6A">
      <w:pPr>
        <w:rPr>
          <w:rFonts w:ascii="Times New Roman" w:hAnsi="Times New Roman" w:cs="Times New Roman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8"/>
        <w:gridCol w:w="2553"/>
        <w:gridCol w:w="1985"/>
      </w:tblGrid>
      <w:tr w:rsidR="00927E6A" w14:paraId="620B7D53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345B" w14:textId="77777777" w:rsidR="00927E6A" w:rsidRDefault="00927E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367D" w14:textId="77777777" w:rsidR="00927E6A" w:rsidRDefault="00927E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Параметр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326D" w14:textId="77777777" w:rsidR="00927E6A" w:rsidRDefault="00927E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5159" w14:textId="77777777" w:rsidR="00927E6A" w:rsidRDefault="00927E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зазначити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«так»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» 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відповідний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(і)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(и) та/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сторінку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(и)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(их) документу(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виробника</w:t>
            </w:r>
            <w:proofErr w:type="spellEnd"/>
          </w:p>
        </w:tc>
      </w:tr>
      <w:tr w:rsidR="00927E6A" w14:paraId="77AE9372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99E" w14:textId="77777777" w:rsidR="00927E6A" w:rsidRDefault="00927E6A" w:rsidP="00927E6A">
            <w:pPr>
              <w:pStyle w:val="a9"/>
              <w:widowControl/>
              <w:numPr>
                <w:ilvl w:val="0"/>
                <w:numId w:val="6"/>
              </w:numPr>
              <w:autoSpaceDE/>
              <w:ind w:left="0" w:firstLine="0"/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A4E3" w14:textId="77777777" w:rsidR="00927E6A" w:rsidRDefault="00927E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Загальні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вимоги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748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7DF" w14:textId="77777777" w:rsidR="00927E6A" w:rsidRDefault="00927E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03D5AF94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9A8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BF0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швидкість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потоку, 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менше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2467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800 мл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B1E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7E1D651F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4A7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C3DF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Мінімальна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швидкість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потоку, 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більше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2D9C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1 мл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D37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1B64D203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710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E3F2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Вбудований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літієвий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акумулятор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7A4F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Наявність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F71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5762D02A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ACD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64F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акумулятора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менше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2225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6 годин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6D1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4CFF9553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390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18CC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Сигнал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тривоги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виявленні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повітря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0766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Наявність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439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6BFDC1A2" w14:textId="77777777" w:rsidTr="00927E6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A19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E580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Сигнал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тривоги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оклюзії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1D9E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Наявність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021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2917A996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748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D959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Дисплей, 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менше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AE8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2,8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дюйми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7E1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65312AF6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7D7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5D25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Сенсорний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дисплей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418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Наявність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AA4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4735C57A" w14:textId="77777777" w:rsidTr="00927E6A">
        <w:trPr>
          <w:trHeight w:val="3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0DA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6ABB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Вага, 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більше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957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665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6EE3B433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96A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4E61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налаштування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потоку, 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гірше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B748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1-800 мл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90A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2B797977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433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231D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Крок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налаштування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потоку, 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гірше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087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1 мл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197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22A7AB86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921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6B18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Максимальний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тиск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інфузії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гірше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44F8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100 кПа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25A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00A5840F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E955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1773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Функція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промивання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921D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Наявність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543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61C16644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952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DFA2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Відображення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введеного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об’єму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1DEB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Наявність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E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439DC259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671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E1CB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Бездротове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підключення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-Fi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DC13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Можливість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8A4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5D9F7145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C76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D7AD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Індикатор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заряджання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акумулятора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D326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Наявність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7B2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7E6A" w14:paraId="2065AD01" w14:textId="77777777" w:rsidTr="009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CC7" w14:textId="77777777" w:rsidR="00927E6A" w:rsidRDefault="00927E6A" w:rsidP="00927E6A">
            <w:pPr>
              <w:pStyle w:val="a9"/>
              <w:widowControl/>
              <w:numPr>
                <w:ilvl w:val="1"/>
                <w:numId w:val="6"/>
              </w:numPr>
              <w:autoSpaceDE/>
              <w:ind w:left="0" w:firstLine="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9AB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Функція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самоперевірки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системи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DAFC" w14:textId="77777777" w:rsidR="00927E6A" w:rsidRDefault="00927E6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222222"/>
                <w:shd w:val="clear" w:color="auto" w:fill="FFFFFF"/>
                <w:lang w:val="ru-RU"/>
              </w:rPr>
              <w:t>Наявність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4BF" w14:textId="77777777" w:rsidR="00927E6A" w:rsidRDefault="00927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AABC21" w14:textId="77777777" w:rsidR="00927E6A" w:rsidRDefault="00927E6A" w:rsidP="00927E6A">
      <w:pPr>
        <w:rPr>
          <w:rFonts w:ascii="Times New Roman" w:eastAsia="Calibri" w:hAnsi="Times New Roman" w:cs="Times New Roman"/>
          <w:lang w:eastAsia="ru-RU"/>
        </w:rPr>
      </w:pPr>
    </w:p>
    <w:p w14:paraId="6C0023BD" w14:textId="77777777" w:rsidR="00927E6A" w:rsidRDefault="00927E6A" w:rsidP="00927E6A">
      <w:pPr>
        <w:pStyle w:val="a9"/>
        <w:keepNext/>
        <w:widowControl/>
        <w:numPr>
          <w:ilvl w:val="0"/>
          <w:numId w:val="5"/>
        </w:numPr>
        <w:shd w:val="clear" w:color="auto" w:fill="FFFFFF"/>
        <w:autoSpaceDE/>
        <w:autoSpaceDN/>
        <w:spacing w:after="160" w:line="256" w:lineRule="auto"/>
        <w:contextualSpacing/>
        <w:jc w:val="center"/>
        <w:rPr>
          <w:b/>
          <w:bCs/>
          <w:iCs/>
        </w:rPr>
      </w:pPr>
      <w:r>
        <w:rPr>
          <w:rFonts w:eastAsiaTheme="minorHAnsi"/>
          <w:b/>
          <w:bCs/>
          <w:kern w:val="2"/>
          <w14:ligatures w14:val="standardContextual"/>
        </w:rPr>
        <w:t>Автоматичний зовнішній дефібрилятор</w:t>
      </w: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62"/>
        <w:gridCol w:w="3120"/>
        <w:gridCol w:w="2695"/>
      </w:tblGrid>
      <w:tr w:rsidR="00927E6A" w14:paraId="791B4155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FD46" w14:textId="77777777" w:rsidR="00927E6A" w:rsidRDefault="00927E6A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4AC3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Медико-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характеристики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D6A3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Значення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DCBE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зазначити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«так»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» 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відповідний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(і)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(и) та/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сторінку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(и)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(их) документу(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виробника</w:t>
            </w:r>
            <w:proofErr w:type="spellEnd"/>
          </w:p>
        </w:tc>
      </w:tr>
      <w:tr w:rsidR="00927E6A" w14:paraId="350C42A2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5D31" w14:textId="77777777" w:rsidR="00927E6A" w:rsidRDefault="00927E6A" w:rsidP="00927E6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F40B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Загальні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характеристики</w:t>
            </w:r>
          </w:p>
        </w:tc>
      </w:tr>
      <w:tr w:rsidR="00927E6A" w14:paraId="5ECD6368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0569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6EB3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Призначення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B5E7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раптової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зупинки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серця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0F78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237A7575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6D84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278A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використовуватися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закладах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місцях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особами,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пройшли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шодо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застосування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90A9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Відповідність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475D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39906B0E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C599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4BFD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дефібриляції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CE5F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автоматичний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0BD4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71762412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C3E9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BAF4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Голосові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вказівки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супроводжують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всю процедуру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дефібриляції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7FF7B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Наявність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C72E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08D204FF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CA30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72D2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про СЛР у реальному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часі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C4E5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Наявність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6088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590FE180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57F7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9AD1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Індикатор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стану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EF9C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098B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73352FE3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DAB1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4A76B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highlight w:val="yellow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Електроди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використовуватись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як для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так і для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дітей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9C06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highlight w:val="yellow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Наявність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5817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0EC84BDB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06E2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E9D6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Перемикач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режимів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997F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Дорослі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діти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8669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483454D0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BEA4" w14:textId="77777777" w:rsidR="00927E6A" w:rsidRDefault="00927E6A" w:rsidP="00927E6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6841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характеристики </w:t>
            </w:r>
          </w:p>
        </w:tc>
      </w:tr>
      <w:tr w:rsidR="00927E6A" w14:paraId="58107DAF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892E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667B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потрапляння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твердих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шкідливих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гірше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3C12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ІР5Х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7203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565C59D8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7CF1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EABD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highlight w:val="yellow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шкідливого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потрапляння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води, 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гірше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D2F8D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highlight w:val="yellow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ІРХ5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F45E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2AB9F2D5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86F1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8C5E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Вага (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включаючи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одну батарею)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DAA32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2,0 ± 0,3 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14EA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66EB3C9D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9419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4577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Батарея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E3E3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Одноразова батарея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4678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32C71E48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36C3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CDFA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Ємність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батареї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0C251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4200 м</w:t>
            </w: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br/>
              <w:t>А*год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76BF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120DC3F8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8009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8A03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Тривалість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роботи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61C7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≥15 годин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F8D5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22F8B95D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CA99" w14:textId="77777777" w:rsidR="00927E6A" w:rsidRDefault="00927E6A" w:rsidP="00927E6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30B1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даних</w:t>
            </w:r>
            <w:proofErr w:type="spellEnd"/>
          </w:p>
        </w:tc>
      </w:tr>
      <w:tr w:rsidR="00927E6A" w14:paraId="1997A2C7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EE11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CE62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ЕКГ, 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менше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2EAA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подій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F7E9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26A923BD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6CCE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03BD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голосів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менше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72887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До 1 год (4 записи по 15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хвилин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кожний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85BA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2582E21C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C42E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ED3A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Передача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на ПК за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технологією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  <w14:ligatures w14:val="standardContextual"/>
              </w:rPr>
              <w:t>BLUETOOTH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C613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наявність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B858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60A61144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135B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52F7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самоперевірки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менше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9D75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записів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4F2C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674C06CC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4614" w14:textId="77777777" w:rsidR="00927E6A" w:rsidRDefault="00927E6A" w:rsidP="00927E6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4815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Дефібрилятор</w:t>
            </w:r>
            <w:proofErr w:type="spellEnd"/>
          </w:p>
        </w:tc>
      </w:tr>
      <w:tr w:rsidR="00927E6A" w14:paraId="693EABE3" w14:textId="77777777" w:rsidTr="00927E6A"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B0A6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EC9C4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Графік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кривої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дефібриляції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F2889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Двофазна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усічена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експоненціальна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(ВТЕ) крива,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автокомпенсація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імпедансу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супротіву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пацієнта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02C9" w14:textId="77777777" w:rsidR="00927E6A" w:rsidRDefault="00927E6A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584DDB41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1F9F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EFC6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вибору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гірше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770A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: 150 Дж </w:t>
            </w:r>
          </w:p>
          <w:p w14:paraId="478C9B11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: 50 Дж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AC3F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0BCDFAF0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3BE2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1CD4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імпедансу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пацієнта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вужче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вказаного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діапазону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AEAE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25 Ом до 175 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35DB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63B3D52C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7DA2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0B5C0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Час набору заряду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95102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9 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6D6D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val="ru-RU"/>
                <w14:ligatures w14:val="standardContextual"/>
              </w:rPr>
            </w:pPr>
          </w:p>
        </w:tc>
      </w:tr>
      <w:tr w:rsidR="00927E6A" w14:paraId="508B5226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EC74" w14:textId="77777777" w:rsidR="00927E6A" w:rsidRDefault="00927E6A" w:rsidP="00927E6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CCE18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2"/>
                <w:lang w:val="ru-RU"/>
                <w14:ligatures w14:val="standardContextual"/>
              </w:rPr>
              <w:t>Комплектація</w:t>
            </w:r>
            <w:proofErr w:type="spellEnd"/>
          </w:p>
        </w:tc>
      </w:tr>
      <w:tr w:rsidR="00927E6A" w14:paraId="0AEA996B" w14:textId="77777777" w:rsidTr="00927E6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5712" w14:textId="77777777" w:rsidR="00927E6A" w:rsidRDefault="00927E6A" w:rsidP="00927E6A">
            <w:pPr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0A27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Захисна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сумка для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транспортування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7858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Наявність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7C3AC" w14:textId="77777777" w:rsidR="00927E6A" w:rsidRDefault="00927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</w:p>
        </w:tc>
      </w:tr>
    </w:tbl>
    <w:p w14:paraId="650C6221" w14:textId="77777777" w:rsidR="00927E6A" w:rsidRDefault="00927E6A" w:rsidP="00927E6A">
      <w:pPr>
        <w:rPr>
          <w:rFonts w:ascii="Times New Roman" w:eastAsia="Calibri" w:hAnsi="Times New Roman" w:cs="Times New Roman"/>
          <w:lang w:eastAsia="ru-RU"/>
        </w:rPr>
      </w:pPr>
    </w:p>
    <w:p w14:paraId="700A891F" w14:textId="6FF2C1B0" w:rsidR="00903F48" w:rsidRPr="009D5B53" w:rsidRDefault="00903F48" w:rsidP="00A2050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FF0E19" w14:textId="77777777" w:rsidR="00903F48" w:rsidRPr="0078730C" w:rsidRDefault="00903F48" w:rsidP="0062371D">
      <w:pPr>
        <w:tabs>
          <w:tab w:val="left" w:pos="9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03F48" w:rsidRPr="0078730C" w:rsidSect="00C6235F">
      <w:headerReference w:type="default" r:id="rId8"/>
      <w:pgSz w:w="11910" w:h="16840" w:code="9"/>
      <w:pgMar w:top="568" w:right="711" w:bottom="380" w:left="822" w:header="0" w:footer="18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4C22" w14:textId="77777777" w:rsidR="00C6235F" w:rsidRDefault="00C6235F" w:rsidP="00E65933">
      <w:pPr>
        <w:spacing w:after="0" w:line="240" w:lineRule="auto"/>
      </w:pPr>
      <w:r>
        <w:separator/>
      </w:r>
    </w:p>
  </w:endnote>
  <w:endnote w:type="continuationSeparator" w:id="0">
    <w:p w14:paraId="7A08B2E2" w14:textId="77777777" w:rsidR="00C6235F" w:rsidRDefault="00C6235F" w:rsidP="00E6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A64D" w14:textId="77777777" w:rsidR="00C6235F" w:rsidRDefault="00C6235F" w:rsidP="00E65933">
      <w:pPr>
        <w:spacing w:after="0" w:line="240" w:lineRule="auto"/>
      </w:pPr>
      <w:r>
        <w:separator/>
      </w:r>
    </w:p>
  </w:footnote>
  <w:footnote w:type="continuationSeparator" w:id="0">
    <w:p w14:paraId="476F79E2" w14:textId="77777777" w:rsidR="00C6235F" w:rsidRDefault="00C6235F" w:rsidP="00E6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82177"/>
      <w:docPartObj>
        <w:docPartGallery w:val="Page Numbers (Top of Page)"/>
        <w:docPartUnique/>
      </w:docPartObj>
    </w:sdtPr>
    <w:sdtContent>
      <w:p w14:paraId="7CF17321" w14:textId="40253F66" w:rsidR="00E65933" w:rsidRDefault="00E659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2AB708C" w14:textId="77777777" w:rsidR="00E65933" w:rsidRDefault="00E659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794"/>
    <w:multiLevelType w:val="hybridMultilevel"/>
    <w:tmpl w:val="544694DC"/>
    <w:lvl w:ilvl="0" w:tplc="21E0DB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AD2010"/>
    <w:multiLevelType w:val="hybridMultilevel"/>
    <w:tmpl w:val="A3F22ED2"/>
    <w:lvl w:ilvl="0" w:tplc="593CB252">
      <w:start w:val="1"/>
      <w:numFmt w:val="decimal"/>
      <w:lvlText w:val="%1."/>
      <w:lvlJc w:val="left"/>
      <w:pPr>
        <w:ind w:left="128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54039A1"/>
    <w:multiLevelType w:val="hybridMultilevel"/>
    <w:tmpl w:val="C5480A8C"/>
    <w:lvl w:ilvl="0" w:tplc="E2D0D6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65727A"/>
    <w:multiLevelType w:val="multilevel"/>
    <w:tmpl w:val="79A079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613530"/>
    <w:multiLevelType w:val="hybridMultilevel"/>
    <w:tmpl w:val="504A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06A9"/>
    <w:multiLevelType w:val="multilevel"/>
    <w:tmpl w:val="BE763B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58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E96F58"/>
    <w:multiLevelType w:val="hybridMultilevel"/>
    <w:tmpl w:val="D0F00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881108">
    <w:abstractNumId w:val="2"/>
  </w:num>
  <w:num w:numId="2" w16cid:durableId="237174866">
    <w:abstractNumId w:val="0"/>
  </w:num>
  <w:num w:numId="3" w16cid:durableId="1410153479">
    <w:abstractNumId w:val="1"/>
  </w:num>
  <w:num w:numId="4" w16cid:durableId="318576595">
    <w:abstractNumId w:val="6"/>
  </w:num>
  <w:num w:numId="5" w16cid:durableId="1771389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433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2462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8C"/>
    <w:rsid w:val="00005FD1"/>
    <w:rsid w:val="00035E19"/>
    <w:rsid w:val="00045352"/>
    <w:rsid w:val="00061016"/>
    <w:rsid w:val="000656FE"/>
    <w:rsid w:val="00074FEF"/>
    <w:rsid w:val="000D29F4"/>
    <w:rsid w:val="000D3D72"/>
    <w:rsid w:val="000E6FC7"/>
    <w:rsid w:val="000F3105"/>
    <w:rsid w:val="00102152"/>
    <w:rsid w:val="001023C5"/>
    <w:rsid w:val="00107661"/>
    <w:rsid w:val="0011011C"/>
    <w:rsid w:val="00113B1D"/>
    <w:rsid w:val="00114223"/>
    <w:rsid w:val="00136236"/>
    <w:rsid w:val="00145AB7"/>
    <w:rsid w:val="00195133"/>
    <w:rsid w:val="001A2B68"/>
    <w:rsid w:val="001F21D9"/>
    <w:rsid w:val="0022004D"/>
    <w:rsid w:val="002C29DE"/>
    <w:rsid w:val="002C3B19"/>
    <w:rsid w:val="002F1B63"/>
    <w:rsid w:val="003034DC"/>
    <w:rsid w:val="003057CE"/>
    <w:rsid w:val="00321DBD"/>
    <w:rsid w:val="00327CFF"/>
    <w:rsid w:val="00327F52"/>
    <w:rsid w:val="00367F6A"/>
    <w:rsid w:val="00386838"/>
    <w:rsid w:val="00395F9D"/>
    <w:rsid w:val="003D7A63"/>
    <w:rsid w:val="003E4768"/>
    <w:rsid w:val="00406DE6"/>
    <w:rsid w:val="0042231A"/>
    <w:rsid w:val="00423F06"/>
    <w:rsid w:val="004519AB"/>
    <w:rsid w:val="00461C9F"/>
    <w:rsid w:val="004B367D"/>
    <w:rsid w:val="004D098A"/>
    <w:rsid w:val="004E60EA"/>
    <w:rsid w:val="00506206"/>
    <w:rsid w:val="005338F0"/>
    <w:rsid w:val="005465B7"/>
    <w:rsid w:val="0055254F"/>
    <w:rsid w:val="00580D8E"/>
    <w:rsid w:val="005B1627"/>
    <w:rsid w:val="006007B6"/>
    <w:rsid w:val="0061572F"/>
    <w:rsid w:val="0062371D"/>
    <w:rsid w:val="006575AF"/>
    <w:rsid w:val="00664F24"/>
    <w:rsid w:val="00670220"/>
    <w:rsid w:val="006959A2"/>
    <w:rsid w:val="006B1F80"/>
    <w:rsid w:val="006C2CBE"/>
    <w:rsid w:val="006F7584"/>
    <w:rsid w:val="007201B6"/>
    <w:rsid w:val="00762F54"/>
    <w:rsid w:val="00774373"/>
    <w:rsid w:val="00774FDA"/>
    <w:rsid w:val="007810CA"/>
    <w:rsid w:val="0078730C"/>
    <w:rsid w:val="007923CC"/>
    <w:rsid w:val="007C2C52"/>
    <w:rsid w:val="007F225C"/>
    <w:rsid w:val="008124D6"/>
    <w:rsid w:val="00840487"/>
    <w:rsid w:val="008755BB"/>
    <w:rsid w:val="0087790F"/>
    <w:rsid w:val="008838F9"/>
    <w:rsid w:val="008A6333"/>
    <w:rsid w:val="008A7EF5"/>
    <w:rsid w:val="008B0F72"/>
    <w:rsid w:val="008C3E6D"/>
    <w:rsid w:val="00903F48"/>
    <w:rsid w:val="009141E5"/>
    <w:rsid w:val="00927E6A"/>
    <w:rsid w:val="009E3ABD"/>
    <w:rsid w:val="00A20502"/>
    <w:rsid w:val="00A2763D"/>
    <w:rsid w:val="00A37FEB"/>
    <w:rsid w:val="00A619AE"/>
    <w:rsid w:val="00A72B29"/>
    <w:rsid w:val="00A82F09"/>
    <w:rsid w:val="00A84B58"/>
    <w:rsid w:val="00AB030A"/>
    <w:rsid w:val="00AB2FAF"/>
    <w:rsid w:val="00AB48D4"/>
    <w:rsid w:val="00AE5B3B"/>
    <w:rsid w:val="00B551E5"/>
    <w:rsid w:val="00B636E8"/>
    <w:rsid w:val="00BF09C7"/>
    <w:rsid w:val="00C33097"/>
    <w:rsid w:val="00C6235F"/>
    <w:rsid w:val="00CB1C62"/>
    <w:rsid w:val="00CD648C"/>
    <w:rsid w:val="00CE4925"/>
    <w:rsid w:val="00CE6945"/>
    <w:rsid w:val="00CF0E03"/>
    <w:rsid w:val="00D23EA3"/>
    <w:rsid w:val="00D314EC"/>
    <w:rsid w:val="00D51808"/>
    <w:rsid w:val="00D52BD1"/>
    <w:rsid w:val="00D807CA"/>
    <w:rsid w:val="00D83089"/>
    <w:rsid w:val="00D9546B"/>
    <w:rsid w:val="00E65933"/>
    <w:rsid w:val="00E762F4"/>
    <w:rsid w:val="00E94688"/>
    <w:rsid w:val="00EA5F3A"/>
    <w:rsid w:val="00ED6DC5"/>
    <w:rsid w:val="00EE4451"/>
    <w:rsid w:val="00F161E0"/>
    <w:rsid w:val="00F23FB4"/>
    <w:rsid w:val="00F64652"/>
    <w:rsid w:val="00F7156D"/>
    <w:rsid w:val="00F852B3"/>
    <w:rsid w:val="00F91532"/>
    <w:rsid w:val="00F93457"/>
    <w:rsid w:val="00FB4F2D"/>
    <w:rsid w:val="00FC1B56"/>
    <w:rsid w:val="00FC5EBB"/>
    <w:rsid w:val="00FF08F3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0BD"/>
  <w15:chartTrackingRefBased/>
  <w15:docId w15:val="{E85418C5-5F1C-4AAD-A927-372F808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CD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2004D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004D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uiPriority w:val="1"/>
    <w:qFormat/>
    <w:rsid w:val="0022004D"/>
    <w:pPr>
      <w:widowControl w:val="0"/>
      <w:autoSpaceDE w:val="0"/>
      <w:autoSpaceDN w:val="0"/>
      <w:spacing w:before="74" w:after="0" w:line="240" w:lineRule="auto"/>
      <w:ind w:left="1085" w:right="1114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22004D"/>
    <w:rPr>
      <w:rFonts w:ascii="Times New Roman" w:eastAsia="Times New Roman" w:hAnsi="Times New Roman"/>
      <w:sz w:val="28"/>
      <w:szCs w:val="28"/>
      <w:lang w:val="uk-UA"/>
    </w:rPr>
  </w:style>
  <w:style w:type="paragraph" w:styleId="a5">
    <w:name w:val="Body Text"/>
    <w:basedOn w:val="a"/>
    <w:link w:val="a6"/>
    <w:uiPriority w:val="1"/>
    <w:qFormat/>
    <w:rsid w:val="0022004D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004D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aliases w:val="nado12"/>
    <w:link w:val="a8"/>
    <w:qFormat/>
    <w:rsid w:val="0022004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uk-UA"/>
    </w:rPr>
  </w:style>
  <w:style w:type="character" w:customStyle="1" w:styleId="a8">
    <w:name w:val="Без интервала Знак"/>
    <w:aliases w:val="nado12 Знак"/>
    <w:link w:val="a7"/>
    <w:locked/>
    <w:rsid w:val="0022004D"/>
    <w:rPr>
      <w:rFonts w:ascii="Arial Unicode MS" w:eastAsia="Arial Unicode MS" w:hAnsi="Arial Unicode MS" w:cs="Arial Unicode MS"/>
      <w:color w:val="000000"/>
      <w:sz w:val="24"/>
      <w:szCs w:val="24"/>
      <w:lang w:eastAsia="ru-RU" w:bidi="uk-UA"/>
    </w:rPr>
  </w:style>
  <w:style w:type="paragraph" w:styleId="a9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,Абзац списку 1"/>
    <w:basedOn w:val="a"/>
    <w:link w:val="aa"/>
    <w:uiPriority w:val="34"/>
    <w:qFormat/>
    <w:rsid w:val="0022004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D648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2">
    <w:name w:val="Обычный (веб)2"/>
    <w:basedOn w:val="a"/>
    <w:rsid w:val="00CD6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yle6">
    <w:name w:val="Style6"/>
    <w:basedOn w:val="a"/>
    <w:qFormat/>
    <w:rsid w:val="00CD648C"/>
    <w:pPr>
      <w:widowControl w:val="0"/>
      <w:spacing w:after="0" w:line="255" w:lineRule="exact"/>
      <w:jc w:val="both"/>
    </w:pPr>
    <w:rPr>
      <w:rFonts w:ascii="Times New Roman" w:eastAsia="Times New Roman" w:hAnsi="Calibri" w:cs="Times New Roman"/>
      <w:sz w:val="24"/>
      <w:szCs w:val="24"/>
      <w:lang w:eastAsia="uk-UA"/>
    </w:rPr>
  </w:style>
  <w:style w:type="paragraph" w:customStyle="1" w:styleId="Default">
    <w:name w:val="Default"/>
    <w:rsid w:val="00CD6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D648C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eastAsia="ru-RU"/>
    </w:rPr>
  </w:style>
  <w:style w:type="character" w:customStyle="1" w:styleId="20">
    <w:name w:val="Основной шрифт абзаца2"/>
    <w:rsid w:val="00CD648C"/>
  </w:style>
  <w:style w:type="paragraph" w:customStyle="1" w:styleId="12">
    <w:name w:val="Абзац списку1"/>
    <w:basedOn w:val="a"/>
    <w:rsid w:val="0078730C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character" w:customStyle="1" w:styleId="aa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9"/>
    <w:uiPriority w:val="34"/>
    <w:qFormat/>
    <w:locked/>
    <w:rsid w:val="00670220"/>
    <w:rPr>
      <w:rFonts w:ascii="Times New Roman" w:eastAsia="Times New Roman" w:hAnsi="Times New Roman"/>
      <w:sz w:val="22"/>
      <w:szCs w:val="22"/>
      <w:lang w:val="uk-UA"/>
    </w:rPr>
  </w:style>
  <w:style w:type="table" w:styleId="ab">
    <w:name w:val="Table Grid"/>
    <w:basedOn w:val="a1"/>
    <w:uiPriority w:val="39"/>
    <w:rsid w:val="0004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веб) Знак"/>
    <w:basedOn w:val="a"/>
    <w:next w:val="ad"/>
    <w:link w:val="13"/>
    <w:rsid w:val="0004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">
    <w:name w:val="Обычный (веб) Знак1"/>
    <w:aliases w:val="Обычный (веб) Знак Знак,Обычный (Интернет) Знак"/>
    <w:link w:val="ac"/>
    <w:locked/>
    <w:rsid w:val="0004535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Normal (Web)"/>
    <w:basedOn w:val="a"/>
    <w:unhideWhenUsed/>
    <w:rsid w:val="00045352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6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5933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0">
    <w:name w:val="footer"/>
    <w:basedOn w:val="a"/>
    <w:link w:val="af1"/>
    <w:uiPriority w:val="99"/>
    <w:unhideWhenUsed/>
    <w:rsid w:val="00E6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5933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AE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5B3B"/>
    <w:rPr>
      <w:rFonts w:ascii="Segoe UI" w:eastAsiaTheme="minorHAns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7010-3D32-4002-8E02-3B17B09D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3828</Words>
  <Characters>2183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yurist</cp:lastModifiedBy>
  <cp:revision>18</cp:revision>
  <cp:lastPrinted>2023-03-29T12:48:00Z</cp:lastPrinted>
  <dcterms:created xsi:type="dcterms:W3CDTF">2024-01-30T07:57:00Z</dcterms:created>
  <dcterms:modified xsi:type="dcterms:W3CDTF">2024-04-22T10:24:00Z</dcterms:modified>
</cp:coreProperties>
</file>